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64875C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842890">
        <w:rPr>
          <w:bCs/>
          <w:noProof w:val="0"/>
          <w:sz w:val="24"/>
          <w:szCs w:val="24"/>
        </w:rPr>
        <w:t>1065</w:t>
      </w:r>
    </w:p>
    <w:p w14:paraId="11776FA6" w14:textId="284639C0"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FE106D" w:rsidRPr="00FE106D">
        <w:rPr>
          <w:bCs/>
          <w:sz w:val="24"/>
          <w:szCs w:val="24"/>
          <w:lang w:eastAsia="zh-CN"/>
        </w:rPr>
        <w:t>25 January – 05 February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1E0C31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50192" w:rsidRPr="00D50192">
        <w:rPr>
          <w:rFonts w:eastAsia="宋体" w:cs="Arial"/>
          <w:b/>
          <w:bCs/>
          <w:sz w:val="24"/>
        </w:rPr>
        <w:t>9</w:t>
      </w:r>
      <w:r w:rsidRPr="00D50192">
        <w:rPr>
          <w:rFonts w:eastAsia="宋体" w:cs="Arial"/>
          <w:b/>
          <w:bCs/>
          <w:sz w:val="24"/>
        </w:rPr>
        <w:t>.</w:t>
      </w:r>
      <w:r w:rsidR="00D50192" w:rsidRPr="00D50192">
        <w:rPr>
          <w:rFonts w:eastAsia="宋体" w:cs="Arial" w:hint="eastAsia"/>
          <w:b/>
          <w:bCs/>
          <w:sz w:val="24"/>
        </w:rPr>
        <w:t>2</w:t>
      </w:r>
      <w:r w:rsidRPr="00D50192">
        <w:rPr>
          <w:rFonts w:eastAsia="宋体" w:cs="Arial"/>
          <w:b/>
          <w:bCs/>
          <w:sz w:val="24"/>
        </w:rPr>
        <w:t>.</w:t>
      </w:r>
      <w:r w:rsidR="00D50192" w:rsidRPr="00D50192">
        <w:rPr>
          <w:rFonts w:eastAsia="宋体" w:cs="Arial" w:hint="eastAsia"/>
          <w:b/>
          <w:bCs/>
          <w:sz w:val="24"/>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178DC3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3238">
        <w:rPr>
          <w:rFonts w:ascii="Arial" w:hAnsi="Arial" w:cs="Arial"/>
          <w:b/>
          <w:bCs/>
          <w:sz w:val="24"/>
        </w:rPr>
        <w:t>O</w:t>
      </w:r>
      <w:r w:rsidR="003F3C7D">
        <w:rPr>
          <w:rFonts w:ascii="Arial" w:hAnsi="Arial" w:cs="Arial"/>
          <w:b/>
          <w:bCs/>
          <w:sz w:val="24"/>
        </w:rPr>
        <w:t xml:space="preserve">n </w:t>
      </w:r>
      <w:r w:rsidR="006C07EF">
        <w:rPr>
          <w:rFonts w:ascii="Arial" w:hAnsi="Arial" w:cs="Arial"/>
          <w:b/>
          <w:bCs/>
          <w:sz w:val="24"/>
          <w:lang w:eastAsia="zh-CN"/>
        </w:rPr>
        <w:t xml:space="preserve">timing </w:t>
      </w:r>
      <w:r w:rsidR="003F3C7D">
        <w:rPr>
          <w:rFonts w:ascii="Arial" w:hAnsi="Arial" w:cs="Arial"/>
          <w:b/>
          <w:bCs/>
          <w:sz w:val="24"/>
        </w:rPr>
        <w:t xml:space="preserve">and </w:t>
      </w:r>
      <w:r w:rsidR="006D2F0D">
        <w:rPr>
          <w:rFonts w:ascii="Arial" w:hAnsi="Arial" w:cs="Arial"/>
          <w:b/>
          <w:bCs/>
          <w:sz w:val="24"/>
        </w:rPr>
        <w:t>channel repetition</w:t>
      </w:r>
      <w:r w:rsidR="003F3C7D">
        <w:rPr>
          <w:rFonts w:ascii="Arial" w:hAnsi="Arial" w:cs="Arial"/>
          <w:b/>
          <w:bCs/>
          <w:sz w:val="24"/>
        </w:rPr>
        <w:t xml:space="preserve"> </w:t>
      </w:r>
      <w:r w:rsidR="006D2F0D">
        <w:rPr>
          <w:rFonts w:ascii="Arial" w:hAnsi="Arial" w:cs="Arial"/>
          <w:b/>
          <w:bCs/>
          <w:sz w:val="24"/>
        </w:rPr>
        <w:t>impact</w:t>
      </w:r>
      <w:r w:rsidR="003F3C7D">
        <w:rPr>
          <w:rFonts w:ascii="Arial" w:hAnsi="Arial" w:cs="Arial"/>
          <w:b/>
          <w:bCs/>
          <w:sz w:val="24"/>
        </w:rPr>
        <w:t xml:space="preserve"> in LEO</w:t>
      </w:r>
    </w:p>
    <w:p w14:paraId="1F147C23" w14:textId="6A01A5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A3B52" w:rsidRPr="002A3B52">
        <w:rPr>
          <w:rFonts w:ascii="Arial" w:hAnsi="Arial" w:cs="Arial"/>
          <w:b/>
          <w:bCs/>
          <w:sz w:val="24"/>
        </w:rPr>
        <w:t>FS_LTE_NBIOT_eMTC_NTN</w:t>
      </w:r>
      <w:proofErr w:type="spellEnd"/>
      <w:r w:rsidR="002A3B52">
        <w:rPr>
          <w:rFonts w:ascii="Arial" w:hAnsi="Arial" w:cs="Arial"/>
          <w:b/>
          <w:bCs/>
          <w:sz w:val="24"/>
        </w:rPr>
        <w:t xml:space="preserve"> </w:t>
      </w:r>
      <w:r>
        <w:rPr>
          <w:rFonts w:ascii="Arial" w:hAnsi="Arial" w:cs="Arial"/>
          <w:b/>
          <w:bCs/>
          <w:sz w:val="24"/>
        </w:rPr>
        <w:t xml:space="preserve">- Release </w:t>
      </w:r>
      <w:r w:rsidR="007B21D2">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0C37BB8" w14:textId="5614BF6A" w:rsidR="00C70957" w:rsidRDefault="00785F68" w:rsidP="00A209D6">
      <w:r w:rsidRPr="00785F68">
        <w:t>For IoT NTN the scenarios, in RAN2-112e meeting, RAN2 agreed GEO and LEO (altitude 1200 km and 600km, both steerable beams and fixed beams) with transparent payload should be supported.</w:t>
      </w:r>
    </w:p>
    <w:tbl>
      <w:tblPr>
        <w:tblStyle w:val="TableGrid"/>
        <w:tblW w:w="0" w:type="auto"/>
        <w:tblLook w:val="04A0" w:firstRow="1" w:lastRow="0" w:firstColumn="1" w:lastColumn="0" w:noHBand="0" w:noVBand="1"/>
      </w:tblPr>
      <w:tblGrid>
        <w:gridCol w:w="9631"/>
      </w:tblGrid>
      <w:tr w:rsidR="00C70957" w14:paraId="1724BE98" w14:textId="77777777" w:rsidTr="00C70957">
        <w:tc>
          <w:tcPr>
            <w:tcW w:w="9631" w:type="dxa"/>
          </w:tcPr>
          <w:p w14:paraId="77B09D64" w14:textId="77777777" w:rsidR="00C70957" w:rsidRPr="00324274" w:rsidRDefault="00C70957" w:rsidP="00C70957">
            <w:pPr>
              <w:pStyle w:val="BodyText"/>
              <w:numPr>
                <w:ilvl w:val="0"/>
                <w:numId w:val="8"/>
              </w:numPr>
              <w:rPr>
                <w:bCs/>
                <w:i/>
                <w:lang w:eastAsia="ko-KR"/>
              </w:rPr>
            </w:pPr>
            <w:r w:rsidRPr="00324274">
              <w:rPr>
                <w:bCs/>
                <w:i/>
                <w:lang w:eastAsia="ko-KR"/>
              </w:rPr>
              <w:t>[034] For 2.4.1-2, the proposed way forward to include the table 1 as reference scenarios for IoT NTN study in a TP for TR 36.763 is agreed</w:t>
            </w:r>
          </w:p>
          <w:p w14:paraId="44B2B709" w14:textId="7522CAD2" w:rsidR="00C70957" w:rsidRPr="00324274" w:rsidRDefault="00C70957" w:rsidP="00C70957">
            <w:pPr>
              <w:pStyle w:val="BodyText"/>
              <w:numPr>
                <w:ilvl w:val="0"/>
                <w:numId w:val="8"/>
              </w:numPr>
              <w:rPr>
                <w:bCs/>
                <w:i/>
                <w:lang w:eastAsia="ko-KR"/>
              </w:rPr>
            </w:pPr>
            <w:r w:rsidRPr="00324274">
              <w:rPr>
                <w:bCs/>
                <w:i/>
                <w:lang w:eastAsia="ko-KR"/>
              </w:rPr>
              <w:t>[034] IoT NTN scenarios A, B, and C are in the scope of the study</w:t>
            </w:r>
          </w:p>
        </w:tc>
      </w:tr>
    </w:tbl>
    <w:p w14:paraId="31EC6E66" w14:textId="4380A89A" w:rsidR="007F2E08" w:rsidRDefault="00785F68" w:rsidP="00A209D6">
      <w:r>
        <w:t xml:space="preserve">In this contribution, we </w:t>
      </w:r>
      <w:r w:rsidR="00285857">
        <w:t xml:space="preserve">want to </w:t>
      </w:r>
      <w:r>
        <w:t xml:space="preserve">discuss </w:t>
      </w:r>
      <w:r w:rsidR="00CA69CC">
        <w:t xml:space="preserve">the potential impact to TA and channel’s repetition number as </w:t>
      </w:r>
      <w:r w:rsidR="003072BD">
        <w:t>the satellite moving in LEO</w:t>
      </w:r>
      <w:r w:rsidR="00F579CD">
        <w:t>.</w:t>
      </w:r>
    </w:p>
    <w:p w14:paraId="4F547731" w14:textId="711EC320" w:rsidR="00A209D6" w:rsidRPr="006E13D1" w:rsidRDefault="00A209D6" w:rsidP="00B7538C">
      <w:pPr>
        <w:pStyle w:val="Heading1"/>
      </w:pPr>
      <w:r w:rsidRPr="006E13D1">
        <w:t>2</w:t>
      </w:r>
      <w:r w:rsidRPr="006E13D1">
        <w:tab/>
      </w:r>
      <w:r w:rsidR="00834CFF">
        <w:t>Discussion</w:t>
      </w:r>
    </w:p>
    <w:p w14:paraId="3286B7F6" w14:textId="6C6B5713" w:rsidR="00DD0F9A" w:rsidRPr="00874E20" w:rsidRDefault="00DD0F9A" w:rsidP="00DD0F9A">
      <w:pPr>
        <w:rPr>
          <w:lang w:val="en-US"/>
        </w:rPr>
      </w:pPr>
      <w:r>
        <w:rPr>
          <w:lang w:val="en-US"/>
        </w:rPr>
        <w:t xml:space="preserve">In LEO scenarios, the longer and varying RTD delays (e.g. from </w:t>
      </w:r>
      <w:proofErr w:type="spellStart"/>
      <w:r>
        <w:rPr>
          <w:lang w:val="en-US"/>
        </w:rPr>
        <w:t>eNB</w:t>
      </w:r>
      <w:proofErr w:type="spellEnd"/>
      <w:r>
        <w:rPr>
          <w:lang w:val="en-US"/>
        </w:rPr>
        <w:t xml:space="preserve"> to UE) of NTN depend heavily on the deployment scenario; i.e. earth-fixed or earth-moving cell, satellite altitude, satellite constellation, feeder link. As an example, </w:t>
      </w:r>
      <w:r>
        <w:rPr>
          <w:lang w:val="en-US"/>
        </w:rPr>
        <w:fldChar w:fldCharType="begin"/>
      </w:r>
      <w:r>
        <w:rPr>
          <w:lang w:val="en-US"/>
        </w:rPr>
        <w:instrText xml:space="preserve"> REF _Ref46747479 \h </w:instrText>
      </w:r>
      <w:r>
        <w:rPr>
          <w:lang w:val="en-US"/>
        </w:rPr>
      </w:r>
      <w:r>
        <w:rPr>
          <w:lang w:val="en-US"/>
        </w:rPr>
        <w:fldChar w:fldCharType="separate"/>
      </w:r>
      <w:r>
        <w:t xml:space="preserve">Figure </w:t>
      </w:r>
      <w:r>
        <w:rPr>
          <w:lang w:val="en-US"/>
        </w:rPr>
        <w:fldChar w:fldCharType="end"/>
      </w:r>
      <w:r>
        <w:rPr>
          <w:lang w:val="en-US"/>
        </w:rPr>
        <w:t>1 provides the propagation delay for a few earth-fixed cell scenarios using a transparent LEO satellite. The first line (</w:t>
      </w:r>
      <w:r w:rsidRPr="00874E20">
        <w:rPr>
          <w:i/>
          <w:iCs/>
          <w:lang w:val="en-US"/>
        </w:rPr>
        <w:t>LEO-600 service link</w:t>
      </w:r>
      <w:r>
        <w:rPr>
          <w:lang w:val="en-US"/>
        </w:rPr>
        <w:t xml:space="preserve">) defines the service link delay for an earth-fixed cell with assumption UE in a reference point at nadir and a satellite at 600 km altitude moving from a 30 degrees elevation angle on one side to 30 degrees elevation angle at the opposite side. The </w:t>
      </w:r>
      <w:r w:rsidRPr="00874E20">
        <w:rPr>
          <w:i/>
          <w:iCs/>
          <w:lang w:val="en-US"/>
        </w:rPr>
        <w:t>LEO-600 feeder link case 1</w:t>
      </w:r>
      <w:r>
        <w:rPr>
          <w:lang w:val="en-US"/>
        </w:rPr>
        <w:t xml:space="preserve"> assumes the NTN gateway is at the exact same location, resulting the total delay illustrated with </w:t>
      </w:r>
      <w:r>
        <w:rPr>
          <w:i/>
          <w:iCs/>
          <w:lang w:val="en-US"/>
        </w:rPr>
        <w:t>LEO-600 total case 1</w:t>
      </w:r>
      <w:r>
        <w:rPr>
          <w:lang w:val="en-US"/>
        </w:rPr>
        <w:t>. A second feeder link case (</w:t>
      </w:r>
      <w:r>
        <w:rPr>
          <w:i/>
          <w:iCs/>
          <w:lang w:val="en-US"/>
        </w:rPr>
        <w:t>LEO-600 feeder link case 2)</w:t>
      </w:r>
      <w:r>
        <w:rPr>
          <w:lang w:val="en-US"/>
        </w:rPr>
        <w:t xml:space="preserve">, is defined for a scenario where the NTN gateway is on the path of the satellite’s orbit, but 1200 km away. Furthermore, it is assumed the satellite at 600 km altitude is moving away from the gateway. The resulting total delay is given by </w:t>
      </w:r>
      <w:r>
        <w:rPr>
          <w:i/>
          <w:iCs/>
          <w:lang w:val="en-US"/>
        </w:rPr>
        <w:t>LEO-600 case 2 total</w:t>
      </w:r>
      <w:r>
        <w:rPr>
          <w:lang w:val="en-US"/>
        </w:rPr>
        <w:t xml:space="preserve">. Based on these examples it can be observed how the propagation delay varies significantly over time. </w:t>
      </w:r>
    </w:p>
    <w:p w14:paraId="754C2CBC" w14:textId="77777777" w:rsidR="00DD0F9A" w:rsidRDefault="00DD0F9A" w:rsidP="00DD0F9A">
      <w:pPr>
        <w:keepNext/>
        <w:jc w:val="center"/>
      </w:pPr>
      <w:r>
        <w:rPr>
          <w:noProof/>
        </w:rPr>
        <w:drawing>
          <wp:inline distT="0" distB="0" distL="0" distR="0" wp14:anchorId="68283BE7" wp14:editId="70FF88BF">
            <wp:extent cx="3472606" cy="2343407"/>
            <wp:effectExtent l="0" t="0" r="0" b="0"/>
            <wp:docPr id="5131812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7">
                      <a:extLst>
                        <a:ext uri="{28A0092B-C50C-407E-A947-70E740481C1C}">
                          <a14:useLocalDpi xmlns:a14="http://schemas.microsoft.com/office/drawing/2010/main" val="0"/>
                        </a:ext>
                      </a:extLst>
                    </a:blip>
                    <a:stretch>
                      <a:fillRect/>
                    </a:stretch>
                  </pic:blipFill>
                  <pic:spPr>
                    <a:xfrm>
                      <a:off x="0" y="0"/>
                      <a:ext cx="3496856" cy="2359772"/>
                    </a:xfrm>
                    <a:prstGeom prst="rect">
                      <a:avLst/>
                    </a:prstGeom>
                  </pic:spPr>
                </pic:pic>
              </a:graphicData>
            </a:graphic>
          </wp:inline>
        </w:drawing>
      </w:r>
    </w:p>
    <w:p w14:paraId="065D165F" w14:textId="77777777" w:rsidR="00DD0F9A" w:rsidRPr="00BD5596" w:rsidRDefault="00DD0F9A" w:rsidP="00DD0F9A">
      <w:pPr>
        <w:pStyle w:val="Caption"/>
        <w:jc w:val="center"/>
        <w:rPr>
          <w:i w:val="0"/>
          <w:iCs w:val="0"/>
          <w:color w:val="auto"/>
          <w:sz w:val="20"/>
          <w:szCs w:val="20"/>
          <w:lang w:val="en-US"/>
        </w:rPr>
      </w:pPr>
      <w:bookmarkStart w:id="0" w:name="_Ref53389133"/>
      <w:r w:rsidRPr="00BD5596">
        <w:rPr>
          <w:i w:val="0"/>
          <w:iCs w:val="0"/>
          <w:color w:val="auto"/>
          <w:sz w:val="20"/>
          <w:szCs w:val="20"/>
          <w:lang w:val="en-US"/>
        </w:rPr>
        <w:t>Figure</w:t>
      </w:r>
      <w:bookmarkEnd w:id="0"/>
      <w:r>
        <w:rPr>
          <w:i w:val="0"/>
          <w:iCs w:val="0"/>
          <w:color w:val="auto"/>
          <w:sz w:val="20"/>
          <w:szCs w:val="20"/>
          <w:lang w:val="en-US"/>
        </w:rPr>
        <w:t xml:space="preserve"> 1</w:t>
      </w:r>
      <w:r>
        <w:t xml:space="preserve"> </w:t>
      </w:r>
      <w:r w:rsidRPr="00BD5596">
        <w:rPr>
          <w:i w:val="0"/>
          <w:iCs w:val="0"/>
          <w:color w:val="auto"/>
          <w:sz w:val="20"/>
          <w:szCs w:val="20"/>
          <w:lang w:val="en-US"/>
        </w:rPr>
        <w:t>Examples of earth-fixed cell propagation delays</w:t>
      </w:r>
    </w:p>
    <w:p w14:paraId="3C2FE78B" w14:textId="77777777" w:rsidR="00DD0F9A" w:rsidRPr="00BD5596" w:rsidRDefault="00DD0F9A" w:rsidP="00DD0F9A">
      <w:pPr>
        <w:pStyle w:val="Caption"/>
        <w:keepNext/>
        <w:rPr>
          <w:i w:val="0"/>
          <w:iCs w:val="0"/>
          <w:color w:val="auto"/>
          <w:sz w:val="20"/>
          <w:szCs w:val="20"/>
          <w:lang w:val="en-US"/>
        </w:rPr>
      </w:pPr>
      <w:r w:rsidRPr="00BD5596">
        <w:rPr>
          <w:i w:val="0"/>
          <w:iCs w:val="0"/>
          <w:color w:val="auto"/>
          <w:sz w:val="20"/>
          <w:szCs w:val="20"/>
          <w:lang w:val="en-US"/>
        </w:rPr>
        <w:lastRenderedPageBreak/>
        <w:fldChar w:fldCharType="begin"/>
      </w:r>
      <w:r w:rsidRPr="00BD5596">
        <w:rPr>
          <w:i w:val="0"/>
          <w:iCs w:val="0"/>
          <w:color w:val="auto"/>
          <w:sz w:val="20"/>
          <w:szCs w:val="20"/>
          <w:lang w:val="en-US"/>
        </w:rPr>
        <w:instrText xml:space="preserve"> REF _Ref53386524 \h  \* MERGEFORMAT </w:instrText>
      </w:r>
      <w:r w:rsidRPr="00BD5596">
        <w:rPr>
          <w:i w:val="0"/>
          <w:iCs w:val="0"/>
          <w:color w:val="auto"/>
          <w:sz w:val="20"/>
          <w:szCs w:val="20"/>
          <w:lang w:val="en-US"/>
        </w:rPr>
      </w:r>
      <w:r w:rsidRPr="00BD5596">
        <w:rPr>
          <w:i w:val="0"/>
          <w:iCs w:val="0"/>
          <w:color w:val="auto"/>
          <w:sz w:val="20"/>
          <w:szCs w:val="20"/>
          <w:lang w:val="en-US"/>
        </w:rPr>
        <w:fldChar w:fldCharType="separate"/>
      </w:r>
      <w:r w:rsidRPr="00BD5596">
        <w:rPr>
          <w:i w:val="0"/>
          <w:iCs w:val="0"/>
          <w:color w:val="auto"/>
          <w:sz w:val="20"/>
          <w:szCs w:val="20"/>
          <w:lang w:val="en-US"/>
        </w:rPr>
        <w:t>Table 1</w:t>
      </w:r>
      <w:r w:rsidRPr="00BD5596">
        <w:rPr>
          <w:i w:val="0"/>
          <w:iCs w:val="0"/>
          <w:color w:val="auto"/>
          <w:sz w:val="20"/>
          <w:szCs w:val="20"/>
          <w:lang w:val="en-US"/>
        </w:rPr>
        <w:fldChar w:fldCharType="end"/>
      </w:r>
      <w:r w:rsidRPr="00BD5596">
        <w:rPr>
          <w:i w:val="0"/>
          <w:iCs w:val="0"/>
          <w:color w:val="auto"/>
          <w:sz w:val="20"/>
          <w:szCs w:val="20"/>
          <w:lang w:val="en-US"/>
        </w:rPr>
        <w:t xml:space="preserve"> provides an overview of the minimum and maximum propagation delay for each of the earth-fixed cell cases described above. The minimum propagation delay is at least half, and in some cases even ¼ - 2/5, of the maximum propagation delay. </w:t>
      </w:r>
    </w:p>
    <w:p w14:paraId="14D29FB5" w14:textId="77777777" w:rsidR="00DD0F9A" w:rsidRPr="00BD5596" w:rsidRDefault="00DD0F9A" w:rsidP="00DD0F9A">
      <w:pPr>
        <w:pStyle w:val="Caption"/>
        <w:keepNext/>
        <w:jc w:val="center"/>
        <w:rPr>
          <w:i w:val="0"/>
          <w:iCs w:val="0"/>
          <w:color w:val="auto"/>
          <w:sz w:val="20"/>
          <w:szCs w:val="20"/>
          <w:lang w:val="en-US"/>
        </w:rPr>
      </w:pPr>
      <w:bookmarkStart w:id="1" w:name="_Ref53386524"/>
      <w:r w:rsidRPr="00BD5596">
        <w:rPr>
          <w:i w:val="0"/>
          <w:iCs w:val="0"/>
          <w:color w:val="auto"/>
          <w:sz w:val="20"/>
          <w:szCs w:val="20"/>
          <w:lang w:val="en-US"/>
        </w:rPr>
        <w:t xml:space="preserve">Table </w:t>
      </w:r>
      <w:r w:rsidRPr="00BD5596">
        <w:rPr>
          <w:i w:val="0"/>
          <w:iCs w:val="0"/>
          <w:color w:val="auto"/>
          <w:sz w:val="20"/>
          <w:szCs w:val="20"/>
          <w:lang w:val="en-US"/>
        </w:rPr>
        <w:fldChar w:fldCharType="begin"/>
      </w:r>
      <w:r w:rsidRPr="00BD5596">
        <w:rPr>
          <w:i w:val="0"/>
          <w:iCs w:val="0"/>
          <w:color w:val="auto"/>
          <w:sz w:val="20"/>
          <w:szCs w:val="20"/>
          <w:lang w:val="en-US"/>
        </w:rPr>
        <w:instrText xml:space="preserve"> SEQ Table \* ARABIC </w:instrText>
      </w:r>
      <w:r w:rsidRPr="00BD5596">
        <w:rPr>
          <w:i w:val="0"/>
          <w:iCs w:val="0"/>
          <w:color w:val="auto"/>
          <w:sz w:val="20"/>
          <w:szCs w:val="20"/>
          <w:lang w:val="en-US"/>
        </w:rPr>
        <w:fldChar w:fldCharType="separate"/>
      </w:r>
      <w:r w:rsidRPr="00BD5596">
        <w:rPr>
          <w:i w:val="0"/>
          <w:iCs w:val="0"/>
          <w:color w:val="auto"/>
          <w:sz w:val="20"/>
          <w:szCs w:val="20"/>
          <w:lang w:val="en-US"/>
        </w:rPr>
        <w:t>1</w:t>
      </w:r>
      <w:r w:rsidRPr="00BD5596">
        <w:rPr>
          <w:i w:val="0"/>
          <w:iCs w:val="0"/>
          <w:color w:val="auto"/>
          <w:sz w:val="20"/>
          <w:szCs w:val="20"/>
          <w:lang w:val="en-US"/>
        </w:rPr>
        <w:fldChar w:fldCharType="end"/>
      </w:r>
      <w:bookmarkEnd w:id="1"/>
      <w:r w:rsidRPr="00BD5596">
        <w:rPr>
          <w:i w:val="0"/>
          <w:iCs w:val="0"/>
          <w:color w:val="auto"/>
          <w:sz w:val="20"/>
          <w:szCs w:val="20"/>
          <w:lang w:val="en-US"/>
        </w:rPr>
        <w:t xml:space="preserve"> Examples of earth-fixed cell propagation delays</w:t>
      </w:r>
    </w:p>
    <w:tbl>
      <w:tblPr>
        <w:tblStyle w:val="TableGrid"/>
        <w:tblW w:w="0" w:type="auto"/>
        <w:jc w:val="center"/>
        <w:tblLook w:val="04A0" w:firstRow="1" w:lastRow="0" w:firstColumn="1" w:lastColumn="0" w:noHBand="0" w:noVBand="1"/>
      </w:tblPr>
      <w:tblGrid>
        <w:gridCol w:w="2527"/>
        <w:gridCol w:w="3200"/>
        <w:gridCol w:w="3233"/>
      </w:tblGrid>
      <w:tr w:rsidR="00DD0F9A" w14:paraId="75225A03" w14:textId="77777777" w:rsidTr="00B62546">
        <w:trPr>
          <w:jc w:val="center"/>
        </w:trPr>
        <w:tc>
          <w:tcPr>
            <w:tcW w:w="2527" w:type="dxa"/>
          </w:tcPr>
          <w:p w14:paraId="6F459EEB" w14:textId="77777777" w:rsidR="00DD0F9A" w:rsidRPr="00360FE3" w:rsidRDefault="00DD0F9A" w:rsidP="00B62546">
            <w:pPr>
              <w:rPr>
                <w:b/>
                <w:bCs/>
                <w:lang w:val="en-US"/>
              </w:rPr>
            </w:pPr>
            <w:r w:rsidRPr="00360FE3">
              <w:rPr>
                <w:b/>
                <w:bCs/>
                <w:lang w:val="en-US"/>
              </w:rPr>
              <w:t>Scenario</w:t>
            </w:r>
          </w:p>
        </w:tc>
        <w:tc>
          <w:tcPr>
            <w:tcW w:w="3200" w:type="dxa"/>
          </w:tcPr>
          <w:p w14:paraId="5CEE981A" w14:textId="77777777" w:rsidR="00DD0F9A" w:rsidRPr="00360FE3" w:rsidRDefault="00DD0F9A" w:rsidP="00B62546">
            <w:pPr>
              <w:rPr>
                <w:b/>
                <w:bCs/>
                <w:lang w:val="en-US"/>
              </w:rPr>
            </w:pPr>
            <w:r w:rsidRPr="00360FE3">
              <w:rPr>
                <w:b/>
                <w:bCs/>
                <w:lang w:val="en-US"/>
              </w:rPr>
              <w:t>Minimum propagation delay [ms]</w:t>
            </w:r>
          </w:p>
        </w:tc>
        <w:tc>
          <w:tcPr>
            <w:tcW w:w="3233" w:type="dxa"/>
          </w:tcPr>
          <w:p w14:paraId="484E0BAA" w14:textId="77777777" w:rsidR="00DD0F9A" w:rsidRPr="00360FE3" w:rsidRDefault="00DD0F9A" w:rsidP="00B62546">
            <w:pPr>
              <w:rPr>
                <w:b/>
                <w:bCs/>
                <w:lang w:val="en-US"/>
              </w:rPr>
            </w:pPr>
            <w:r w:rsidRPr="00360FE3">
              <w:rPr>
                <w:b/>
                <w:bCs/>
                <w:lang w:val="en-US"/>
              </w:rPr>
              <w:t>Maximum propagation delay [ms]</w:t>
            </w:r>
          </w:p>
        </w:tc>
      </w:tr>
      <w:tr w:rsidR="00DD0F9A" w14:paraId="06AF0008" w14:textId="77777777" w:rsidTr="00B62546">
        <w:trPr>
          <w:jc w:val="center"/>
        </w:trPr>
        <w:tc>
          <w:tcPr>
            <w:tcW w:w="2527" w:type="dxa"/>
          </w:tcPr>
          <w:p w14:paraId="41E41C73" w14:textId="77777777" w:rsidR="00DD0F9A" w:rsidRDefault="00DD0F9A" w:rsidP="00B62546">
            <w:pPr>
              <w:rPr>
                <w:lang w:val="en-US"/>
              </w:rPr>
            </w:pPr>
            <w:r>
              <w:rPr>
                <w:lang w:val="en-US"/>
              </w:rPr>
              <w:t>LEO-600 service link</w:t>
            </w:r>
          </w:p>
        </w:tc>
        <w:tc>
          <w:tcPr>
            <w:tcW w:w="3200" w:type="dxa"/>
          </w:tcPr>
          <w:p w14:paraId="67244F40" w14:textId="77777777" w:rsidR="00DD0F9A" w:rsidRDefault="00DD0F9A" w:rsidP="00B62546">
            <w:pPr>
              <w:jc w:val="center"/>
              <w:rPr>
                <w:lang w:val="en-US"/>
              </w:rPr>
            </w:pPr>
            <w:r>
              <w:rPr>
                <w:lang w:val="en-US"/>
              </w:rPr>
              <w:t>4.0</w:t>
            </w:r>
          </w:p>
        </w:tc>
        <w:tc>
          <w:tcPr>
            <w:tcW w:w="3233" w:type="dxa"/>
          </w:tcPr>
          <w:p w14:paraId="77014488" w14:textId="77777777" w:rsidR="00DD0F9A" w:rsidRDefault="00DD0F9A" w:rsidP="00B62546">
            <w:pPr>
              <w:jc w:val="center"/>
              <w:rPr>
                <w:lang w:val="en-US"/>
              </w:rPr>
            </w:pPr>
            <w:r>
              <w:rPr>
                <w:lang w:val="en-US"/>
              </w:rPr>
              <w:t>8.0</w:t>
            </w:r>
          </w:p>
        </w:tc>
      </w:tr>
      <w:tr w:rsidR="00DD0F9A" w14:paraId="36D0D3FE" w14:textId="77777777" w:rsidTr="00B62546">
        <w:trPr>
          <w:jc w:val="center"/>
        </w:trPr>
        <w:tc>
          <w:tcPr>
            <w:tcW w:w="2527" w:type="dxa"/>
          </w:tcPr>
          <w:p w14:paraId="02A0F8AB" w14:textId="77777777" w:rsidR="00DD0F9A" w:rsidRDefault="00DD0F9A" w:rsidP="00B62546">
            <w:pPr>
              <w:rPr>
                <w:lang w:val="en-US"/>
              </w:rPr>
            </w:pPr>
            <w:r>
              <w:rPr>
                <w:lang w:val="en-US"/>
              </w:rPr>
              <w:t>LEO-600 feeder link case 1</w:t>
            </w:r>
          </w:p>
        </w:tc>
        <w:tc>
          <w:tcPr>
            <w:tcW w:w="3200" w:type="dxa"/>
          </w:tcPr>
          <w:p w14:paraId="74706FB7" w14:textId="77777777" w:rsidR="00DD0F9A" w:rsidRDefault="00DD0F9A" w:rsidP="00B62546">
            <w:pPr>
              <w:jc w:val="center"/>
              <w:rPr>
                <w:lang w:val="en-US"/>
              </w:rPr>
            </w:pPr>
            <w:r>
              <w:rPr>
                <w:lang w:val="en-US"/>
              </w:rPr>
              <w:t>4.0</w:t>
            </w:r>
          </w:p>
        </w:tc>
        <w:tc>
          <w:tcPr>
            <w:tcW w:w="3233" w:type="dxa"/>
          </w:tcPr>
          <w:p w14:paraId="187AB725" w14:textId="77777777" w:rsidR="00DD0F9A" w:rsidRDefault="00DD0F9A" w:rsidP="00B62546">
            <w:pPr>
              <w:jc w:val="center"/>
              <w:rPr>
                <w:lang w:val="en-US"/>
              </w:rPr>
            </w:pPr>
            <w:r>
              <w:rPr>
                <w:lang w:val="en-US"/>
              </w:rPr>
              <w:t>8.0</w:t>
            </w:r>
          </w:p>
        </w:tc>
      </w:tr>
      <w:tr w:rsidR="00DD0F9A" w14:paraId="190E68F7" w14:textId="77777777" w:rsidTr="00B62546">
        <w:trPr>
          <w:jc w:val="center"/>
        </w:trPr>
        <w:tc>
          <w:tcPr>
            <w:tcW w:w="2527" w:type="dxa"/>
          </w:tcPr>
          <w:p w14:paraId="0461910B" w14:textId="77777777" w:rsidR="00DD0F9A" w:rsidRDefault="00DD0F9A" w:rsidP="00B62546">
            <w:pPr>
              <w:rPr>
                <w:lang w:val="en-US"/>
              </w:rPr>
            </w:pPr>
            <w:r>
              <w:rPr>
                <w:lang w:val="en-US"/>
              </w:rPr>
              <w:t>LEO-600 total case 1</w:t>
            </w:r>
          </w:p>
        </w:tc>
        <w:tc>
          <w:tcPr>
            <w:tcW w:w="3200" w:type="dxa"/>
          </w:tcPr>
          <w:p w14:paraId="2E05F756" w14:textId="77777777" w:rsidR="00DD0F9A" w:rsidRDefault="00DD0F9A" w:rsidP="00B62546">
            <w:pPr>
              <w:jc w:val="center"/>
              <w:rPr>
                <w:lang w:val="en-US"/>
              </w:rPr>
            </w:pPr>
            <w:r>
              <w:rPr>
                <w:lang w:val="en-US"/>
              </w:rPr>
              <w:t>8.0</w:t>
            </w:r>
          </w:p>
        </w:tc>
        <w:tc>
          <w:tcPr>
            <w:tcW w:w="3233" w:type="dxa"/>
          </w:tcPr>
          <w:p w14:paraId="35EE7BC1" w14:textId="77777777" w:rsidR="00DD0F9A" w:rsidRDefault="00DD0F9A" w:rsidP="00B62546">
            <w:pPr>
              <w:jc w:val="center"/>
              <w:rPr>
                <w:lang w:val="en-US"/>
              </w:rPr>
            </w:pPr>
            <w:r>
              <w:rPr>
                <w:lang w:val="en-US"/>
              </w:rPr>
              <w:t>16.0</w:t>
            </w:r>
          </w:p>
        </w:tc>
      </w:tr>
      <w:tr w:rsidR="00DD0F9A" w14:paraId="3A295ADD" w14:textId="77777777" w:rsidTr="00B62546">
        <w:trPr>
          <w:jc w:val="center"/>
        </w:trPr>
        <w:tc>
          <w:tcPr>
            <w:tcW w:w="2527" w:type="dxa"/>
          </w:tcPr>
          <w:p w14:paraId="58DD9B01" w14:textId="77777777" w:rsidR="00DD0F9A" w:rsidRDefault="00DD0F9A" w:rsidP="00B62546">
            <w:pPr>
              <w:rPr>
                <w:lang w:val="en-US"/>
              </w:rPr>
            </w:pPr>
            <w:r>
              <w:rPr>
                <w:lang w:val="en-US"/>
              </w:rPr>
              <w:t>LEO-600 feeder link case 2</w:t>
            </w:r>
          </w:p>
        </w:tc>
        <w:tc>
          <w:tcPr>
            <w:tcW w:w="3200" w:type="dxa"/>
          </w:tcPr>
          <w:p w14:paraId="489055F2" w14:textId="77777777" w:rsidR="00DD0F9A" w:rsidRDefault="00DD0F9A" w:rsidP="00B62546">
            <w:pPr>
              <w:jc w:val="center"/>
              <w:rPr>
                <w:lang w:val="en-US"/>
              </w:rPr>
            </w:pPr>
            <w:r>
              <w:rPr>
                <w:lang w:val="en-US"/>
              </w:rPr>
              <w:t>4.0</w:t>
            </w:r>
          </w:p>
        </w:tc>
        <w:tc>
          <w:tcPr>
            <w:tcW w:w="3233" w:type="dxa"/>
          </w:tcPr>
          <w:p w14:paraId="643E03EC" w14:textId="77777777" w:rsidR="00DD0F9A" w:rsidRDefault="00DD0F9A" w:rsidP="00B62546">
            <w:pPr>
              <w:jc w:val="center"/>
              <w:rPr>
                <w:lang w:val="en-US"/>
              </w:rPr>
            </w:pPr>
            <w:r>
              <w:rPr>
                <w:lang w:val="en-US"/>
              </w:rPr>
              <w:t>15.5</w:t>
            </w:r>
          </w:p>
        </w:tc>
      </w:tr>
      <w:tr w:rsidR="00DD0F9A" w14:paraId="5D949239" w14:textId="77777777" w:rsidTr="00B62546">
        <w:trPr>
          <w:jc w:val="center"/>
        </w:trPr>
        <w:tc>
          <w:tcPr>
            <w:tcW w:w="2527" w:type="dxa"/>
          </w:tcPr>
          <w:p w14:paraId="5F8F99DD" w14:textId="77777777" w:rsidR="00DD0F9A" w:rsidRDefault="00DD0F9A" w:rsidP="00B62546">
            <w:pPr>
              <w:rPr>
                <w:lang w:val="en-US"/>
              </w:rPr>
            </w:pPr>
            <w:r>
              <w:rPr>
                <w:lang w:val="en-US"/>
              </w:rPr>
              <w:t>LEO-600 total case 2</w:t>
            </w:r>
          </w:p>
        </w:tc>
        <w:tc>
          <w:tcPr>
            <w:tcW w:w="3200" w:type="dxa"/>
          </w:tcPr>
          <w:p w14:paraId="230E9B5D" w14:textId="77777777" w:rsidR="00DD0F9A" w:rsidRDefault="00DD0F9A" w:rsidP="00B62546">
            <w:pPr>
              <w:jc w:val="center"/>
              <w:rPr>
                <w:lang w:val="en-US"/>
              </w:rPr>
            </w:pPr>
            <w:r>
              <w:rPr>
                <w:lang w:val="en-US"/>
              </w:rPr>
              <w:t>9.5</w:t>
            </w:r>
          </w:p>
        </w:tc>
        <w:tc>
          <w:tcPr>
            <w:tcW w:w="3233" w:type="dxa"/>
          </w:tcPr>
          <w:p w14:paraId="026AFDBB" w14:textId="77777777" w:rsidR="00DD0F9A" w:rsidRDefault="00DD0F9A" w:rsidP="00B62546">
            <w:pPr>
              <w:jc w:val="center"/>
              <w:rPr>
                <w:lang w:val="en-US"/>
              </w:rPr>
            </w:pPr>
            <w:r>
              <w:rPr>
                <w:lang w:val="en-US"/>
              </w:rPr>
              <w:t>23.5</w:t>
            </w:r>
          </w:p>
        </w:tc>
      </w:tr>
    </w:tbl>
    <w:p w14:paraId="11D526AC" w14:textId="77777777" w:rsidR="00DD0F9A" w:rsidRPr="00324274" w:rsidRDefault="00DD0F9A" w:rsidP="00DD0F9A">
      <w:pPr>
        <w:rPr>
          <w:sz w:val="2"/>
          <w:szCs w:val="2"/>
          <w:lang w:val="en-US"/>
        </w:rPr>
      </w:pPr>
    </w:p>
    <w:p w14:paraId="3939596B" w14:textId="77777777" w:rsidR="00DD0F9A" w:rsidRPr="00216C65" w:rsidRDefault="00DD0F9A" w:rsidP="00DD0F9A">
      <w:pPr>
        <w:rPr>
          <w:b/>
        </w:rPr>
      </w:pPr>
      <w:r w:rsidRPr="00216C65">
        <w:rPr>
          <w:b/>
        </w:rPr>
        <w:t>Observation 1: The delay variations caused by satellite moving is significant, especially for high altitude LEO deployment.</w:t>
      </w:r>
    </w:p>
    <w:p w14:paraId="56867DD6" w14:textId="23207F54" w:rsidR="00C02E74" w:rsidRDefault="006C07EF" w:rsidP="00DC5C88">
      <w:r w:rsidRPr="00DD0F9A">
        <w:t xml:space="preserve">As mentioned in the SI [1], GNSS capability in the UE is taken as a working assumption in </w:t>
      </w:r>
      <w:r w:rsidR="00E77E06" w:rsidRPr="00DD0F9A">
        <w:t>IoT NTN</w:t>
      </w:r>
      <w:r w:rsidRPr="00DD0F9A">
        <w:t xml:space="preserve"> study for both NB-IoT and eMTC devices. With this assumption, UE can estimate and pre-compensate timing</w:t>
      </w:r>
      <w:r w:rsidR="00DD0F9A">
        <w:t xml:space="preserve"> (</w:t>
      </w:r>
      <w:r w:rsidR="00512239">
        <w:t xml:space="preserve">i.e. </w:t>
      </w:r>
      <w:r w:rsidR="000164DE">
        <w:t>RTD</w:t>
      </w:r>
      <w:r w:rsidR="00DD0F9A">
        <w:t xml:space="preserve"> from satellite to UE)</w:t>
      </w:r>
      <w:r w:rsidRPr="00DD0F9A">
        <w:t xml:space="preserve"> with </w:t>
      </w:r>
      <w:r w:rsidR="00C02E74" w:rsidRPr="00DD0F9A">
        <w:t>enough</w:t>
      </w:r>
      <w:r w:rsidRPr="00DD0F9A">
        <w:t xml:space="preserve"> accuracy for UL transmission. </w:t>
      </w:r>
    </w:p>
    <w:p w14:paraId="7A97B79D" w14:textId="2118EDBB" w:rsidR="00670079" w:rsidRDefault="00670079" w:rsidP="00DC5C88">
      <w:r>
        <w:rPr>
          <w:noProof/>
        </w:rPr>
        <mc:AlternateContent>
          <mc:Choice Requires="wps">
            <w:drawing>
              <wp:anchor distT="45720" distB="45720" distL="114300" distR="114300" simplePos="0" relativeHeight="251658240" behindDoc="0" locked="0" layoutInCell="1" allowOverlap="1" wp14:anchorId="3F701C54" wp14:editId="6D544D92">
                <wp:simplePos x="0" y="0"/>
                <wp:positionH relativeFrom="column">
                  <wp:posOffset>56443</wp:posOffset>
                </wp:positionH>
                <wp:positionV relativeFrom="paragraph">
                  <wp:posOffset>1463376</wp:posOffset>
                </wp:positionV>
                <wp:extent cx="5963285" cy="1404620"/>
                <wp:effectExtent l="0" t="0" r="1841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69FA1B2C" w14:textId="4B7860DA" w:rsidR="00670079" w:rsidRPr="00324274" w:rsidRDefault="005044FC">
                            <w:pPr>
                              <w:rPr>
                                <w:b/>
                                <w:bCs/>
                              </w:rPr>
                            </w:pPr>
                            <w:r w:rsidRPr="00324274">
                              <w:rPr>
                                <w:b/>
                                <w:bCs/>
                              </w:rPr>
                              <w:t>7.20 UE transmit timing for NB-IoT</w:t>
                            </w:r>
                          </w:p>
                          <w:p w14:paraId="10589D55" w14:textId="6BD73E50" w:rsidR="008B6C0C" w:rsidRDefault="008B6C0C" w:rsidP="00EC3428">
                            <w:pPr>
                              <w:autoSpaceDE w:val="0"/>
                              <w:autoSpaceDN w:val="0"/>
                              <w:adjustRightInd w:val="0"/>
                              <w:spacing w:after="0"/>
                              <w:rPr>
                                <w:lang w:val="en-US" w:eastAsia="en-GB"/>
                              </w:rPr>
                            </w:pPr>
                            <w:r>
                              <w:rPr>
                                <w:lang w:val="en-US" w:eastAsia="en-GB"/>
                              </w:rPr>
                              <w:t>When a repetition period is configured on the uplink for which R&gt;1, the UE shall not adjust the uplink transmission</w:t>
                            </w:r>
                            <w:r w:rsidR="00EC3428">
                              <w:rPr>
                                <w:lang w:val="en-US" w:eastAsia="en-GB"/>
                              </w:rPr>
                              <w:t xml:space="preserve"> </w:t>
                            </w:r>
                            <w:r>
                              <w:rPr>
                                <w:lang w:val="en-US" w:eastAsia="en-GB"/>
                              </w:rPr>
                              <w:t>timing autonomously during an ongoing repetition period other than at initial transmission as defined above.</w:t>
                            </w:r>
                          </w:p>
                          <w:p w14:paraId="7FDD751B" w14:textId="77777777" w:rsidR="00EC3428" w:rsidRDefault="00EC3428" w:rsidP="00EC3428">
                            <w:pPr>
                              <w:autoSpaceDE w:val="0"/>
                              <w:autoSpaceDN w:val="0"/>
                              <w:adjustRightInd w:val="0"/>
                              <w:spacing w:after="0"/>
                              <w:rPr>
                                <w:lang w:val="en-US" w:eastAsia="en-GB"/>
                              </w:rPr>
                            </w:pPr>
                          </w:p>
                          <w:p w14:paraId="241542C5" w14:textId="0E4316AA" w:rsidR="00EC3428" w:rsidRPr="00324274" w:rsidRDefault="00FE0F52" w:rsidP="00EC3428">
                            <w:pPr>
                              <w:autoSpaceDE w:val="0"/>
                              <w:autoSpaceDN w:val="0"/>
                              <w:adjustRightInd w:val="0"/>
                              <w:spacing w:after="0"/>
                              <w:rPr>
                                <w:b/>
                                <w:bCs/>
                                <w:lang w:val="en-US" w:eastAsia="en-GB"/>
                              </w:rPr>
                            </w:pPr>
                            <w:r w:rsidRPr="00324274">
                              <w:rPr>
                                <w:b/>
                                <w:bCs/>
                                <w:lang w:val="en-US" w:eastAsia="en-GB"/>
                              </w:rPr>
                              <w:t>7.24 UE transmit timing for Category M1</w:t>
                            </w:r>
                          </w:p>
                          <w:p w14:paraId="07D7BE87" w14:textId="0FF6B9AE" w:rsidR="00EC3428" w:rsidRDefault="00EC3428" w:rsidP="00324274">
                            <w:pPr>
                              <w:autoSpaceDE w:val="0"/>
                              <w:autoSpaceDN w:val="0"/>
                              <w:adjustRightInd w:val="0"/>
                              <w:spacing w:after="0"/>
                            </w:pPr>
                            <w:r>
                              <w:rPr>
                                <w:lang w:val="en-US" w:eastAsia="en-GB"/>
                              </w:rPr>
                              <w:t>When a repetition period is configured on the uplink for which R&gt;1, the UE shall not adjust the uplink transmission timing autonomously during an ongoing repetition period other than at initial transmission as defined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701C54" id="_x0000_t202" coordsize="21600,21600" o:spt="202" path="m,l,21600r21600,l21600,xe">
                <v:stroke joinstyle="miter"/>
                <v:path gradientshapeok="t" o:connecttype="rect"/>
              </v:shapetype>
              <v:shape id="Text Box 2" o:spid="_x0000_s1026" type="#_x0000_t202" style="position:absolute;margin-left:4.45pt;margin-top:115.25pt;width:469.5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ZeBJg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">
                <v:textbox style="mso-fit-shape-to-text:t">
                  <w:txbxContent>
                    <w:p w14:paraId="69FA1B2C" w14:textId="4B7860DA" w:rsidR="00670079" w:rsidRPr="00324274" w:rsidRDefault="005044FC">
                      <w:pPr>
                        <w:rPr>
                          <w:b/>
                          <w:bCs/>
                        </w:rPr>
                      </w:pPr>
                      <w:r w:rsidRPr="00324274">
                        <w:rPr>
                          <w:b/>
                          <w:bCs/>
                        </w:rPr>
                        <w:t>7.20 UE transmit timing for NB-IoT</w:t>
                      </w:r>
                    </w:p>
                    <w:p w14:paraId="10589D55" w14:textId="6BD73E50" w:rsidR="008B6C0C" w:rsidRDefault="008B6C0C" w:rsidP="00EC3428">
                      <w:pPr>
                        <w:autoSpaceDE w:val="0"/>
                        <w:autoSpaceDN w:val="0"/>
                        <w:adjustRightInd w:val="0"/>
                        <w:spacing w:after="0"/>
                        <w:rPr>
                          <w:lang w:val="en-US" w:eastAsia="en-GB"/>
                        </w:rPr>
                      </w:pPr>
                      <w:r>
                        <w:rPr>
                          <w:lang w:val="en-US" w:eastAsia="en-GB"/>
                        </w:rPr>
                        <w:t>When a repetition period is configured on the uplink for which R&gt;1, the UE shall not adjust the uplink transmission</w:t>
                      </w:r>
                      <w:r w:rsidR="00EC3428">
                        <w:rPr>
                          <w:lang w:val="en-US" w:eastAsia="en-GB"/>
                        </w:rPr>
                        <w:t xml:space="preserve"> </w:t>
                      </w:r>
                      <w:r>
                        <w:rPr>
                          <w:lang w:val="en-US" w:eastAsia="en-GB"/>
                        </w:rPr>
                        <w:t>timing autonomously during an ongoing repetition period other than at initial transmission as defined above.</w:t>
                      </w:r>
                    </w:p>
                    <w:p w14:paraId="7FDD751B" w14:textId="77777777" w:rsidR="00EC3428" w:rsidRDefault="00EC3428" w:rsidP="00EC3428">
                      <w:pPr>
                        <w:autoSpaceDE w:val="0"/>
                        <w:autoSpaceDN w:val="0"/>
                        <w:adjustRightInd w:val="0"/>
                        <w:spacing w:after="0"/>
                        <w:rPr>
                          <w:lang w:val="en-US" w:eastAsia="en-GB"/>
                        </w:rPr>
                      </w:pPr>
                    </w:p>
                    <w:p w14:paraId="241542C5" w14:textId="0E4316AA" w:rsidR="00EC3428" w:rsidRPr="00324274" w:rsidRDefault="00FE0F52" w:rsidP="00EC3428">
                      <w:pPr>
                        <w:autoSpaceDE w:val="0"/>
                        <w:autoSpaceDN w:val="0"/>
                        <w:adjustRightInd w:val="0"/>
                        <w:spacing w:after="0"/>
                        <w:rPr>
                          <w:b/>
                          <w:bCs/>
                          <w:lang w:val="en-US" w:eastAsia="en-GB"/>
                        </w:rPr>
                      </w:pPr>
                      <w:r w:rsidRPr="00324274">
                        <w:rPr>
                          <w:b/>
                          <w:bCs/>
                          <w:lang w:val="en-US" w:eastAsia="en-GB"/>
                        </w:rPr>
                        <w:t>7.24 UE transmit timing for Category M1</w:t>
                      </w:r>
                    </w:p>
                    <w:p w14:paraId="07D7BE87" w14:textId="0FF6B9AE" w:rsidR="00EC3428" w:rsidRDefault="00EC3428" w:rsidP="00324274">
                      <w:pPr>
                        <w:autoSpaceDE w:val="0"/>
                        <w:autoSpaceDN w:val="0"/>
                        <w:adjustRightInd w:val="0"/>
                        <w:spacing w:after="0"/>
                      </w:pPr>
                      <w:r>
                        <w:rPr>
                          <w:lang w:val="en-US" w:eastAsia="en-GB"/>
                        </w:rPr>
                        <w:t>When a repetition period is configured on the uplink for which R&gt;1, the UE shall not adjust the uplink transmission timing autonomously during an ongoing repetition period other than at initial transmission as defined above.</w:t>
                      </w:r>
                    </w:p>
                  </w:txbxContent>
                </v:textbox>
                <w10:wrap type="square"/>
              </v:shape>
            </w:pict>
          </mc:Fallback>
        </mc:AlternateContent>
      </w:r>
      <w:r w:rsidR="006C07EF" w:rsidRPr="00DD0F9A">
        <w:t>For NB-IoT and eMTC UE, PRACH repetitions and PUSCH repetitions are supported to achieve coverage enhancement. Based on assumption that all UEs have timing pre-compensation capability, for UE in RRC idle, UE can do pre-compensation estimation and apply the estimated TA</w:t>
      </w:r>
      <w:r w:rsidR="000164DE">
        <w:t xml:space="preserve"> </w:t>
      </w:r>
      <w:r w:rsidR="000164DE">
        <w:rPr>
          <w:lang w:eastAsia="zh-CN"/>
        </w:rPr>
        <w:t>(i.e. 2*RTD</w:t>
      </w:r>
      <w:r w:rsidR="000164DE">
        <w:t>)</w:t>
      </w:r>
      <w:r w:rsidR="006C07EF" w:rsidRPr="00DD0F9A">
        <w:t xml:space="preserve"> at least in first PRACH transmission. However, during the interval of PRACH repetition transmissions and the following Msg3 as well as data transmission, it is not clear whether UE can estimate the TA for the rest of PRACH repetitions and PUSCH repetitions, as it </w:t>
      </w:r>
      <w:r w:rsidR="00C02E74">
        <w:t>is</w:t>
      </w:r>
      <w:r w:rsidR="006C07EF" w:rsidRPr="00DD0F9A">
        <w:t xml:space="preserve"> mentioned in SI that simultaneous GNSS and NTN NB-IoT/eMTC operation is not assumed. Considering satellite is moving in LEO and long repetition duration (e.g. in NB-IoT uplink, the transmission periods is up to 40 seconds), </w:t>
      </w:r>
      <w:r w:rsidR="00DD0F9A">
        <w:t>according to observation</w:t>
      </w:r>
      <w:r w:rsidR="00C02E74">
        <w:t xml:space="preserve"> </w:t>
      </w:r>
      <w:r w:rsidR="00DD0F9A">
        <w:t xml:space="preserve">1, </w:t>
      </w:r>
      <w:r w:rsidR="006C07EF" w:rsidRPr="00DD0F9A">
        <w:t>the TA between different repetitions may change a lot.</w:t>
      </w:r>
      <w:r w:rsidR="00DC5C88" w:rsidRPr="00DD0F9A">
        <w:t xml:space="preserve"> </w:t>
      </w:r>
      <w:r w:rsidR="00C02E74">
        <w:t>Furthermore, i</w:t>
      </w:r>
      <w:r w:rsidR="00DC5C88" w:rsidRPr="00DD0F9A">
        <w:t xml:space="preserve">n </w:t>
      </w:r>
      <w:r w:rsidR="00C02E74">
        <w:t xml:space="preserve">legacy </w:t>
      </w:r>
      <w:r w:rsidR="00DC5C88" w:rsidRPr="00DD0F9A">
        <w:t>LTE NB-IoT and eMTC, it is not allowed to update TA in duration of repetitions</w:t>
      </w:r>
      <w:r w:rsidR="00304CF2">
        <w:t xml:space="preserve">, see </w:t>
      </w:r>
      <w:r w:rsidR="009837E4">
        <w:t>TS 36.133 v16.6.0</w:t>
      </w:r>
      <w:r w:rsidR="00FB51DD">
        <w:t>:</w:t>
      </w:r>
      <w:r w:rsidR="00DC5C88" w:rsidRPr="00DD0F9A">
        <w:t xml:space="preserve"> </w:t>
      </w:r>
    </w:p>
    <w:p w14:paraId="652ABD1A" w14:textId="0F680AEF" w:rsidR="00DC5C88" w:rsidRPr="00DD0F9A" w:rsidRDefault="00DC5C88" w:rsidP="00DC5C88">
      <w:r w:rsidRPr="00DD0F9A">
        <w:t xml:space="preserve">If UE cannot  estimate and pre-compensate timing offset during the interval of PRACH repetitions </w:t>
      </w:r>
      <w:r w:rsidR="000D5BAC">
        <w:t>or</w:t>
      </w:r>
      <w:r w:rsidRPr="00DD0F9A">
        <w:t xml:space="preserve"> PUSCH repetitions, it is not acceptable to use one TA for entire repetition duration. </w:t>
      </w:r>
    </w:p>
    <w:p w14:paraId="1A4A0D74" w14:textId="1A5FCF69" w:rsidR="006C07EF" w:rsidRPr="00D207B7" w:rsidRDefault="006C07EF" w:rsidP="006C07EF">
      <w:pPr>
        <w:rPr>
          <w:b/>
          <w:bCs/>
        </w:rPr>
      </w:pPr>
      <w:r w:rsidRPr="00D207B7">
        <w:rPr>
          <w:b/>
          <w:bCs/>
        </w:rPr>
        <w:t xml:space="preserve">Proposal 1: RAN2 to clarify, based on the assumption in </w:t>
      </w:r>
      <w:r w:rsidR="00DC5C88" w:rsidRPr="00D207B7">
        <w:rPr>
          <w:b/>
          <w:bCs/>
        </w:rPr>
        <w:t xml:space="preserve">IoT NTN </w:t>
      </w:r>
      <w:r w:rsidRPr="00D207B7">
        <w:rPr>
          <w:b/>
          <w:bCs/>
        </w:rPr>
        <w:t>SI description, whether NB-IoT and eMTC UE can estimate and pre-compensate timing offset during the interval of PRACH repetitions and PUSCH repetitions in LEO.</w:t>
      </w:r>
    </w:p>
    <w:p w14:paraId="35609539" w14:textId="6F599FB0" w:rsidR="00DC5C88" w:rsidRPr="00D207B7" w:rsidRDefault="00DC5C88" w:rsidP="00DC5C88">
      <w:pPr>
        <w:rPr>
          <w:b/>
          <w:bCs/>
        </w:rPr>
      </w:pPr>
      <w:r w:rsidRPr="00D207B7">
        <w:rPr>
          <w:b/>
          <w:bCs/>
        </w:rPr>
        <w:t xml:space="preserve">Proposal 2: </w:t>
      </w:r>
      <w:r w:rsidR="00EF7307" w:rsidRPr="00D207B7">
        <w:rPr>
          <w:b/>
          <w:bCs/>
        </w:rPr>
        <w:t xml:space="preserve">In LEO, how to handle </w:t>
      </w:r>
      <w:r w:rsidRPr="00D207B7">
        <w:rPr>
          <w:b/>
          <w:bCs/>
        </w:rPr>
        <w:t>TA value changing during the repetitions should be considered in UL transmissions if UE cannot pre-compensation timing offset automatically.</w:t>
      </w:r>
    </w:p>
    <w:p w14:paraId="34EE3432" w14:textId="7F29F3C4" w:rsidR="004B1892" w:rsidRDefault="000C7950" w:rsidP="3A115A1E">
      <w:pPr>
        <w:jc w:val="both"/>
        <w:rPr>
          <w:rFonts w:cs="Arial"/>
        </w:rPr>
      </w:pPr>
      <w:r>
        <w:t xml:space="preserve">As mentioned above, coverage </w:t>
      </w:r>
      <w:r w:rsidR="00326101">
        <w:t>e</w:t>
      </w:r>
      <w:r>
        <w:t xml:space="preserve">nhancement (CE) is one feature for NB-IoT </w:t>
      </w:r>
      <w:r w:rsidR="708450E9">
        <w:t xml:space="preserve">and </w:t>
      </w:r>
      <w:proofErr w:type="spellStart"/>
      <w:r w:rsidR="708450E9">
        <w:t>eMTC</w:t>
      </w:r>
      <w:proofErr w:type="spellEnd"/>
      <w:r>
        <w:t xml:space="preserve"> networks, which can be achieved with the repetition transmission.</w:t>
      </w:r>
      <w:r w:rsidR="00DE1E88">
        <w:t xml:space="preserve"> </w:t>
      </w:r>
      <w:r w:rsidR="7B59AA34" w:rsidRPr="3A115A1E">
        <w:rPr>
          <w:rFonts w:eastAsia="Times New Roman"/>
        </w:rPr>
        <w:t>The network can define up to three</w:t>
      </w:r>
      <w:r w:rsidR="00877420">
        <w:rPr>
          <w:rFonts w:eastAsia="Times New Roman"/>
        </w:rPr>
        <w:t xml:space="preserve"> (for NB-IoT)</w:t>
      </w:r>
      <w:r w:rsidR="00E52A88">
        <w:rPr>
          <w:rFonts w:eastAsia="Times New Roman"/>
        </w:rPr>
        <w:t xml:space="preserve"> or four</w:t>
      </w:r>
      <w:r w:rsidR="00877420">
        <w:rPr>
          <w:rFonts w:eastAsia="Times New Roman"/>
        </w:rPr>
        <w:t xml:space="preserve"> (for </w:t>
      </w:r>
      <w:proofErr w:type="spellStart"/>
      <w:r w:rsidR="00877420">
        <w:rPr>
          <w:rFonts w:eastAsia="Times New Roman"/>
        </w:rPr>
        <w:t>eMTC</w:t>
      </w:r>
      <w:proofErr w:type="spellEnd"/>
      <w:r w:rsidR="00877420">
        <w:rPr>
          <w:rFonts w:eastAsia="Times New Roman"/>
        </w:rPr>
        <w:t>)</w:t>
      </w:r>
      <w:r w:rsidR="7B59AA34" w:rsidRPr="3A115A1E">
        <w:rPr>
          <w:rFonts w:eastAsia="Times New Roman"/>
        </w:rPr>
        <w:t xml:space="preserve"> coverage enhancement level groups having different RA and EDT parameters incl. number of repetitions. Each group is associated with a RSRP threshold and UEs will select a group based on measured RSRP</w:t>
      </w:r>
      <w:r w:rsidR="7B59AA34" w:rsidRPr="3A115A1E">
        <w:rPr>
          <w:noProof/>
        </w:rPr>
        <w:t>.</w:t>
      </w:r>
      <w:r w:rsidR="006C563F">
        <w:rPr>
          <w:noProof/>
        </w:rPr>
        <w:t xml:space="preserve"> </w:t>
      </w:r>
      <w:r w:rsidRPr="3A115A1E">
        <w:rPr>
          <w:noProof/>
        </w:rPr>
        <w:t>The UE will tran</w:t>
      </w:r>
      <w:r w:rsidR="00C75DC2" w:rsidRPr="3A115A1E">
        <w:rPr>
          <w:noProof/>
        </w:rPr>
        <w:t>s</w:t>
      </w:r>
      <w:r w:rsidRPr="3A115A1E">
        <w:rPr>
          <w:noProof/>
        </w:rPr>
        <w:t>mit the premable with the</w:t>
      </w:r>
      <w:r w:rsidR="006C563F">
        <w:rPr>
          <w:noProof/>
        </w:rPr>
        <w:t xml:space="preserve"> </w:t>
      </w:r>
      <w:r w:rsidRPr="3A115A1E">
        <w:rPr>
          <w:noProof/>
        </w:rPr>
        <w:t xml:space="preserve">configured PRACH resources and repetition number corresponding to the selected coverage level. </w:t>
      </w:r>
      <w:r w:rsidR="00EF03D4" w:rsidRPr="3A115A1E">
        <w:rPr>
          <w:noProof/>
        </w:rPr>
        <w:t>For RRC Connected UE (i.e. after succesful RA), t</w:t>
      </w:r>
      <w:r w:rsidRPr="3A115A1E">
        <w:rPr>
          <w:noProof/>
        </w:rPr>
        <w:t xml:space="preserve">he </w:t>
      </w:r>
      <w:r w:rsidR="00066C77">
        <w:rPr>
          <w:noProof/>
          <w:lang w:eastAsia="zh-CN"/>
        </w:rPr>
        <w:t>base station(</w:t>
      </w:r>
      <w:r w:rsidR="00066C77" w:rsidRPr="3A115A1E">
        <w:rPr>
          <w:noProof/>
        </w:rPr>
        <w:t>BS</w:t>
      </w:r>
      <w:r w:rsidR="00066C77">
        <w:rPr>
          <w:noProof/>
          <w:lang w:eastAsia="zh-CN"/>
        </w:rPr>
        <w:t>)</w:t>
      </w:r>
      <w:r w:rsidRPr="3A115A1E">
        <w:rPr>
          <w:noProof/>
        </w:rPr>
        <w:t xml:space="preserve"> will determine the repetition number for UL and DL data  transmission based on the  coverage level and the transmisison status of data. </w:t>
      </w:r>
      <w:r w:rsidRPr="3A115A1E">
        <w:rPr>
          <w:noProof/>
          <w:lang w:eastAsia="zh-CN"/>
        </w:rPr>
        <w:t>Since</w:t>
      </w:r>
      <w:r w:rsidRPr="3A115A1E">
        <w:rPr>
          <w:noProof/>
        </w:rPr>
        <w:t xml:space="preserve"> </w:t>
      </w:r>
      <w:r w:rsidRPr="3A115A1E">
        <w:rPr>
          <w:rFonts w:cs="Arial"/>
          <w:lang w:eastAsia="zh-CN"/>
        </w:rPr>
        <w:t xml:space="preserve">NB-IoT UE is almost stationary and </w:t>
      </w:r>
      <w:r w:rsidRPr="3A115A1E">
        <w:rPr>
          <w:rFonts w:cs="Arial"/>
          <w:lang w:eastAsia="zh-CN"/>
        </w:rPr>
        <w:lastRenderedPageBreak/>
        <w:t xml:space="preserve">with low-mobility in terrestrial network, the distance and pathloss between BS and UE don’t change a lot. But </w:t>
      </w:r>
      <w:r w:rsidRPr="3A115A1E">
        <w:rPr>
          <w:rFonts w:cs="Arial"/>
        </w:rPr>
        <w:t xml:space="preserve">satellites in non-GEO orbits move with high speed relative to a fixed position on earth, </w:t>
      </w:r>
      <w:r w:rsidR="0069257B" w:rsidRPr="3A115A1E">
        <w:rPr>
          <w:rFonts w:cs="Arial"/>
        </w:rPr>
        <w:t xml:space="preserve">and therefore </w:t>
      </w:r>
      <w:r w:rsidRPr="3A115A1E">
        <w:rPr>
          <w:rFonts w:cs="Arial"/>
        </w:rPr>
        <w:t>the distance and pathloss</w:t>
      </w:r>
      <w:r w:rsidR="00B96544">
        <w:rPr>
          <w:rFonts w:cs="Arial"/>
        </w:rPr>
        <w:t xml:space="preserve"> (</w:t>
      </w:r>
      <w:r w:rsidR="00BD037B">
        <w:rPr>
          <w:rFonts w:cs="Arial"/>
        </w:rPr>
        <w:t>and thus SINR</w:t>
      </w:r>
      <w:r w:rsidR="00B96544">
        <w:rPr>
          <w:rFonts w:cs="Arial"/>
        </w:rPr>
        <w:t>)</w:t>
      </w:r>
      <w:r w:rsidRPr="3A115A1E">
        <w:rPr>
          <w:rFonts w:cs="Arial"/>
        </w:rPr>
        <w:t xml:space="preserve"> between satellite and UE is continuous changing.  </w:t>
      </w:r>
    </w:p>
    <w:p w14:paraId="2AC0AD1C" w14:textId="77777777" w:rsidR="00327601" w:rsidRDefault="00327601" w:rsidP="00327601">
      <w:pPr>
        <w:jc w:val="both"/>
        <w:rPr>
          <w:rFonts w:cs="Arial"/>
        </w:rPr>
      </w:pPr>
      <w:r>
        <w:rPr>
          <w:rFonts w:cs="Arial"/>
        </w:rPr>
        <w:t xml:space="preserve">Take the LEO with 600km and the 10° minimum elevation angle as the example, Figure 2 gives the pathloss changes with time.  </w:t>
      </w:r>
    </w:p>
    <w:p w14:paraId="7ECEEC4F" w14:textId="1D169400" w:rsidR="000C7950" w:rsidRDefault="000C7950" w:rsidP="000C7950">
      <w:pPr>
        <w:jc w:val="center"/>
        <w:rPr>
          <w:rFonts w:ascii="Calibri" w:hAnsi="Calibri"/>
          <w:lang w:eastAsia="zh-CN"/>
        </w:rPr>
      </w:pPr>
      <w:r>
        <w:rPr>
          <w:noProof/>
        </w:rPr>
        <w:drawing>
          <wp:inline distT="0" distB="0" distL="0" distR="0" wp14:anchorId="2F0E2AE7" wp14:editId="18664C2B">
            <wp:extent cx="5273040" cy="2392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3040" cy="2392680"/>
                    </a:xfrm>
                    <a:prstGeom prst="rect">
                      <a:avLst/>
                    </a:prstGeom>
                    <a:noFill/>
                    <a:ln>
                      <a:noFill/>
                    </a:ln>
                  </pic:spPr>
                </pic:pic>
              </a:graphicData>
            </a:graphic>
          </wp:inline>
        </w:drawing>
      </w:r>
    </w:p>
    <w:p w14:paraId="634C9094" w14:textId="216A9F23" w:rsidR="000C7950" w:rsidRDefault="000C7950" w:rsidP="000C7950">
      <w:pPr>
        <w:jc w:val="center"/>
        <w:rPr>
          <w:rFonts w:ascii="Arial" w:hAnsi="Arial"/>
        </w:rPr>
      </w:pPr>
      <w:r>
        <w:t>Figure 2    Pathloss changes with time</w:t>
      </w:r>
    </w:p>
    <w:p w14:paraId="5F654840" w14:textId="5956602C" w:rsidR="008D1A79" w:rsidRDefault="008D1A79" w:rsidP="008D1A79">
      <w:pPr>
        <w:autoSpaceDE w:val="0"/>
        <w:autoSpaceDN w:val="0"/>
        <w:adjustRightInd w:val="0"/>
        <w:jc w:val="both"/>
        <w:rPr>
          <w:rFonts w:cs="Arial"/>
        </w:rPr>
      </w:pPr>
      <w:r>
        <w:rPr>
          <w:rFonts w:cs="Arial"/>
        </w:rPr>
        <w:t>From the figure we can see the pathloss between the UE and the satellite is continuously changing with the movement of the satellite.</w:t>
      </w:r>
      <w:r w:rsidRPr="00844354">
        <w:t xml:space="preserve"> </w:t>
      </w:r>
      <w:r>
        <w:t>For example</w:t>
      </w:r>
      <w:r w:rsidRPr="00775E23">
        <w:t xml:space="preserve">, </w:t>
      </w:r>
      <w:r>
        <w:t>one</w:t>
      </w:r>
      <w:r w:rsidRPr="00775E23">
        <w:t xml:space="preserve"> NB-IoT UL transmission time will reach 40.96 seconds (e.g. NPUSCH format 1, 128 repetitions, 10 resource units, 1 subcarrier allocated with 3.75KHz SCS), </w:t>
      </w:r>
      <w:r>
        <w:t xml:space="preserve">in </w:t>
      </w:r>
      <w:r w:rsidRPr="00775E23">
        <w:t xml:space="preserve">which </w:t>
      </w:r>
      <w:r>
        <w:t>the path</w:t>
      </w:r>
      <w:bookmarkStart w:id="2" w:name="_GoBack"/>
      <w:bookmarkEnd w:id="2"/>
      <w:r>
        <w:t xml:space="preserve">loss </w:t>
      </w:r>
      <w:r w:rsidRPr="00775E23">
        <w:t>change</w:t>
      </w:r>
      <w:r>
        <w:t xml:space="preserve">s about </w:t>
      </w:r>
      <w:r w:rsidR="00DE1E88">
        <w:t>2dB.</w:t>
      </w:r>
    </w:p>
    <w:p w14:paraId="082F1972" w14:textId="6BEC3E27" w:rsidR="00930C72" w:rsidRDefault="00930C72" w:rsidP="00930C72">
      <w:pPr>
        <w:rPr>
          <w:b/>
          <w:bCs/>
        </w:rPr>
      </w:pPr>
      <w:r w:rsidRPr="4F059E79">
        <w:rPr>
          <w:b/>
          <w:bCs/>
        </w:rPr>
        <w:t>Observation 2: The pathloss/RSRP</w:t>
      </w:r>
      <w:r w:rsidR="000C5350">
        <w:rPr>
          <w:b/>
          <w:bCs/>
        </w:rPr>
        <w:t>/SINR</w:t>
      </w:r>
      <w:r w:rsidRPr="4F059E79">
        <w:rPr>
          <w:b/>
          <w:bCs/>
        </w:rPr>
        <w:t xml:space="preserve"> will change during PRACH and PUSCH</w:t>
      </w:r>
      <w:r w:rsidR="4FC6A21B" w:rsidRPr="4F059E79">
        <w:rPr>
          <w:b/>
          <w:bCs/>
        </w:rPr>
        <w:t>/PDSCH</w:t>
      </w:r>
      <w:r w:rsidRPr="4F059E79">
        <w:rPr>
          <w:b/>
          <w:bCs/>
        </w:rPr>
        <w:t xml:space="preserve"> data transmission repetitions in LEO with moving satellite.</w:t>
      </w:r>
    </w:p>
    <w:p w14:paraId="3C4EC337" w14:textId="77777777" w:rsidR="00826A3F" w:rsidRDefault="000C7950" w:rsidP="000C7950">
      <w:pPr>
        <w:autoSpaceDE w:val="0"/>
        <w:autoSpaceDN w:val="0"/>
        <w:adjustRightInd w:val="0"/>
        <w:jc w:val="both"/>
        <w:rPr>
          <w:rFonts w:cs="Arial"/>
        </w:rPr>
      </w:pPr>
      <w:r w:rsidRPr="00D36C13">
        <w:rPr>
          <w:rFonts w:cs="Arial" w:hint="eastAsia"/>
        </w:rPr>
        <w:t>UE</w:t>
      </w:r>
      <w:r w:rsidR="00731171">
        <w:rPr>
          <w:rFonts w:cs="Arial"/>
        </w:rPr>
        <w:t>s</w:t>
      </w:r>
      <w:r w:rsidRPr="00D36C13">
        <w:rPr>
          <w:rFonts w:cs="Arial"/>
        </w:rPr>
        <w:t xml:space="preserve"> with the same RSRP </w:t>
      </w:r>
      <w:r w:rsidR="00731171">
        <w:rPr>
          <w:rFonts w:cs="Arial"/>
        </w:rPr>
        <w:t>but</w:t>
      </w:r>
      <w:r w:rsidRPr="00D36C13">
        <w:rPr>
          <w:rFonts w:cs="Arial"/>
        </w:rPr>
        <w:t xml:space="preserve"> located at different position </w:t>
      </w:r>
      <w:r w:rsidR="00731171">
        <w:rPr>
          <w:rFonts w:cs="Arial"/>
        </w:rPr>
        <w:t>may</w:t>
      </w:r>
      <w:r w:rsidRPr="00D36C13">
        <w:rPr>
          <w:rFonts w:cs="Arial"/>
        </w:rPr>
        <w:t xml:space="preserve"> have different pathloss change</w:t>
      </w:r>
      <w:r w:rsidR="00731171">
        <w:rPr>
          <w:rFonts w:cs="Arial"/>
        </w:rPr>
        <w:t xml:space="preserve"> trend</w:t>
      </w:r>
      <w:r w:rsidRPr="00D36C13">
        <w:rPr>
          <w:rFonts w:cs="Arial"/>
        </w:rPr>
        <w:t xml:space="preserve">. When the satellite is moving away from the UE, the change of pathloss is positive. When the satellite is moving towards the UE, the change of pathloss is negative. As shown in figure </w:t>
      </w:r>
      <w:r>
        <w:rPr>
          <w:rFonts w:cs="Arial"/>
        </w:rPr>
        <w:t>3</w:t>
      </w:r>
      <w:r w:rsidRPr="00D36C13">
        <w:rPr>
          <w:rFonts w:cs="Arial"/>
        </w:rPr>
        <w:t>, UE1 and UE2 have the same distance to the satellite at the T1</w:t>
      </w:r>
      <w:r>
        <w:rPr>
          <w:rFonts w:cs="Arial"/>
        </w:rPr>
        <w:t>(e.g.,d1=d2)</w:t>
      </w:r>
      <w:r w:rsidRPr="00D36C13">
        <w:rPr>
          <w:rFonts w:cs="Arial"/>
        </w:rPr>
        <w:t xml:space="preserve">, thus the pathloss between the satellite and the UEs are the same. At T2, </w:t>
      </w:r>
      <w:r w:rsidRPr="00D36C13">
        <w:rPr>
          <w:rFonts w:cs="Arial" w:hint="eastAsia"/>
        </w:rPr>
        <w:t>t</w:t>
      </w:r>
      <w:r w:rsidRPr="00D36C13">
        <w:rPr>
          <w:rFonts w:cs="Arial"/>
        </w:rPr>
        <w:t>he distance between UE1</w:t>
      </w:r>
      <w:r w:rsidR="00826A3F">
        <w:rPr>
          <w:rFonts w:cs="Arial"/>
        </w:rPr>
        <w:t xml:space="preserve"> </w:t>
      </w:r>
      <w:r w:rsidRPr="00D36C13">
        <w:rPr>
          <w:rFonts w:cs="Arial"/>
        </w:rPr>
        <w:t xml:space="preserve">and the satellite becomes smaller (i.e., the pathloss between UE1 and the satellite becomes smaller) and the distance between UE2 and the satellite becomes larger (i.e., the pathloss between UE2 and the satellite becomes larger). If the UE estimate the coverage level based on the measured RSRP, </w:t>
      </w:r>
      <w:proofErr w:type="spellStart"/>
      <w:r w:rsidRPr="00D36C13">
        <w:rPr>
          <w:rFonts w:cs="Arial"/>
        </w:rPr>
        <w:t>e.g</w:t>
      </w:r>
      <w:proofErr w:type="spellEnd"/>
      <w:r w:rsidRPr="00D36C13">
        <w:rPr>
          <w:rFonts w:cs="Arial"/>
        </w:rPr>
        <w:t xml:space="preserve">, at T1, the pathloss /RSRP and the </w:t>
      </w:r>
      <w:r w:rsidR="00826A3F">
        <w:rPr>
          <w:rFonts w:cs="Arial"/>
        </w:rPr>
        <w:t>c</w:t>
      </w:r>
      <w:r w:rsidR="00826A3F" w:rsidRPr="00D36C13">
        <w:rPr>
          <w:rFonts w:cs="Arial"/>
        </w:rPr>
        <w:t>overage</w:t>
      </w:r>
      <w:r w:rsidRPr="00D36C13">
        <w:rPr>
          <w:rFonts w:cs="Arial"/>
        </w:rPr>
        <w:t xml:space="preserve"> level may be changed with the movement of the satellite, </w:t>
      </w:r>
      <w:proofErr w:type="spellStart"/>
      <w:r w:rsidRPr="00D36C13">
        <w:rPr>
          <w:rFonts w:cs="Arial"/>
        </w:rPr>
        <w:t>e.g</w:t>
      </w:r>
      <w:proofErr w:type="spellEnd"/>
      <w:r w:rsidRPr="00D36C13">
        <w:rPr>
          <w:rFonts w:cs="Arial"/>
        </w:rPr>
        <w:t xml:space="preserve">, at T2 and the </w:t>
      </w:r>
      <w:r w:rsidR="00826A3F">
        <w:rPr>
          <w:rFonts w:cs="Arial"/>
        </w:rPr>
        <w:t xml:space="preserve">selected </w:t>
      </w:r>
      <w:r w:rsidRPr="00D36C13">
        <w:rPr>
          <w:rFonts w:cs="Arial"/>
        </w:rPr>
        <w:t xml:space="preserve">repetition number is not suitable. </w:t>
      </w:r>
    </w:p>
    <w:p w14:paraId="0E4D6B24" w14:textId="25671D97" w:rsidR="00826A3F" w:rsidRDefault="000C7950" w:rsidP="000C7950">
      <w:pPr>
        <w:autoSpaceDE w:val="0"/>
        <w:autoSpaceDN w:val="0"/>
        <w:adjustRightInd w:val="0"/>
        <w:jc w:val="both"/>
        <w:rPr>
          <w:rFonts w:cs="Arial"/>
        </w:rPr>
      </w:pPr>
      <w:r w:rsidRPr="00D36C13">
        <w:rPr>
          <w:rFonts w:cs="Arial"/>
        </w:rPr>
        <w:t>For example, if UE1 select</w:t>
      </w:r>
      <w:r w:rsidR="00AC2D6F">
        <w:rPr>
          <w:rFonts w:cs="Arial"/>
        </w:rPr>
        <w:t>s</w:t>
      </w:r>
      <w:r w:rsidRPr="00D36C13">
        <w:rPr>
          <w:rFonts w:cs="Arial"/>
        </w:rPr>
        <w:t xml:space="preserve"> the coverage level based on the measured RSRP, </w:t>
      </w:r>
      <w:proofErr w:type="spellStart"/>
      <w:r w:rsidRPr="00D36C13">
        <w:rPr>
          <w:rFonts w:cs="Arial"/>
        </w:rPr>
        <w:t>e.g</w:t>
      </w:r>
      <w:proofErr w:type="spellEnd"/>
      <w:r w:rsidRPr="00D36C13">
        <w:rPr>
          <w:rFonts w:cs="Arial"/>
        </w:rPr>
        <w:t>, at T1 and the pathloss  become smaller with the movement of the satellite, thus the required repetition number may be not so large since the channel condition becomes better, in this case,  the resource may be wasted and the power consumption will be large due to the large number of repetition</w:t>
      </w:r>
      <w:r>
        <w:rPr>
          <w:rFonts w:cs="Arial"/>
        </w:rPr>
        <w:t xml:space="preserve">. </w:t>
      </w:r>
      <w:r w:rsidRPr="00D36C13">
        <w:rPr>
          <w:rFonts w:cs="Arial"/>
        </w:rPr>
        <w:t>If UE2 select</w:t>
      </w:r>
      <w:r w:rsidR="00AC2D6F">
        <w:rPr>
          <w:rFonts w:cs="Arial"/>
        </w:rPr>
        <w:t>s</w:t>
      </w:r>
      <w:r w:rsidRPr="00D36C13">
        <w:rPr>
          <w:rFonts w:cs="Arial"/>
        </w:rPr>
        <w:t xml:space="preserve"> the coverage level based on the measured RSRP, </w:t>
      </w:r>
      <w:proofErr w:type="spellStart"/>
      <w:r w:rsidRPr="00D36C13">
        <w:rPr>
          <w:rFonts w:cs="Arial"/>
        </w:rPr>
        <w:t>e.g</w:t>
      </w:r>
      <w:proofErr w:type="spellEnd"/>
      <w:r w:rsidRPr="00D36C13">
        <w:rPr>
          <w:rFonts w:cs="Arial"/>
        </w:rPr>
        <w:t xml:space="preserve">, at T1 and the pathloss  become larger with the movement of the satellite, thus the required repetition number may be  increased  since the channel condition becomes worse, in this case, the transmission  is possible not to be decoded correctly and the retransmission maybe needed.  </w:t>
      </w:r>
    </w:p>
    <w:p w14:paraId="5DF0B3C1" w14:textId="1707F75F" w:rsidR="00400D46" w:rsidRPr="00FC7929" w:rsidRDefault="00400D46" w:rsidP="00400D46">
      <w:pPr>
        <w:rPr>
          <w:b/>
          <w:bCs/>
        </w:rPr>
      </w:pPr>
      <w:r w:rsidRPr="4F059E79">
        <w:rPr>
          <w:b/>
          <w:bCs/>
        </w:rPr>
        <w:t xml:space="preserve">Observation 3: </w:t>
      </w:r>
      <w:r w:rsidR="0050631F" w:rsidRPr="4F059E79">
        <w:rPr>
          <w:b/>
          <w:bCs/>
        </w:rPr>
        <w:t xml:space="preserve">In LEO, it is inaccurate to decide the number of </w:t>
      </w:r>
      <w:r w:rsidR="0050631F" w:rsidRPr="4F059E79">
        <w:rPr>
          <w:b/>
          <w:bCs/>
          <w:lang w:eastAsia="zh-CN"/>
        </w:rPr>
        <w:t>PRACH</w:t>
      </w:r>
      <w:r w:rsidR="0050631F" w:rsidRPr="4F059E79">
        <w:rPr>
          <w:b/>
          <w:bCs/>
        </w:rPr>
        <w:t xml:space="preserve">/PUSCH </w:t>
      </w:r>
      <w:r w:rsidR="170299BF" w:rsidRPr="4F059E79">
        <w:rPr>
          <w:b/>
          <w:bCs/>
        </w:rPr>
        <w:t xml:space="preserve">/PDSCH </w:t>
      </w:r>
      <w:r w:rsidR="0050631F" w:rsidRPr="4F059E79">
        <w:rPr>
          <w:b/>
          <w:bCs/>
        </w:rPr>
        <w:t>repetition number by using the CE level determined by the RSRP measured before preamble</w:t>
      </w:r>
      <w:r w:rsidR="009C7F63">
        <w:rPr>
          <w:b/>
          <w:bCs/>
        </w:rPr>
        <w:t xml:space="preserve"> transmission</w:t>
      </w:r>
      <w:r w:rsidR="0050631F" w:rsidRPr="4F059E79">
        <w:rPr>
          <w:b/>
          <w:bCs/>
        </w:rPr>
        <w:t>.</w:t>
      </w:r>
    </w:p>
    <w:p w14:paraId="42C17EC3" w14:textId="432B2AAB" w:rsidR="000C7950" w:rsidRPr="00930C72" w:rsidRDefault="00930C72" w:rsidP="000C7950">
      <w:pPr>
        <w:autoSpaceDE w:val="0"/>
        <w:autoSpaceDN w:val="0"/>
        <w:adjustRightInd w:val="0"/>
        <w:jc w:val="both"/>
        <w:rPr>
          <w:noProof/>
        </w:rPr>
      </w:pPr>
      <w:r>
        <w:rPr>
          <w:rFonts w:cs="Arial"/>
        </w:rPr>
        <w:t>Since UE may achieve satellites ephemeris data (e.g. via SIB) and UE also has GNSS information, i</w:t>
      </w:r>
      <w:r w:rsidR="000C7950">
        <w:rPr>
          <w:rFonts w:cs="Arial"/>
        </w:rPr>
        <w:t xml:space="preserve">f the </w:t>
      </w:r>
      <w:r w:rsidR="000C7950" w:rsidRPr="00240F00">
        <w:rPr>
          <w:rFonts w:cs="Arial"/>
        </w:rPr>
        <w:t xml:space="preserve">change trend of </w:t>
      </w:r>
      <w:r w:rsidR="00103F03">
        <w:rPr>
          <w:rFonts w:cs="Arial"/>
        </w:rPr>
        <w:t>UE-satellite distance</w:t>
      </w:r>
      <w:r w:rsidR="00B20999">
        <w:rPr>
          <w:rFonts w:cs="Arial"/>
        </w:rPr>
        <w:t xml:space="preserve"> (or </w:t>
      </w:r>
      <w:r w:rsidR="000C7950" w:rsidRPr="00240F00">
        <w:rPr>
          <w:rFonts w:cs="Arial"/>
        </w:rPr>
        <w:t>pathloss/RSRP</w:t>
      </w:r>
      <w:r w:rsidR="00F87614">
        <w:rPr>
          <w:rFonts w:cs="Arial"/>
        </w:rPr>
        <w:t>/elevation angle/Doppler shift</w:t>
      </w:r>
      <w:r w:rsidR="00CF3A75">
        <w:rPr>
          <w:rFonts w:cs="Arial"/>
        </w:rPr>
        <w:t xml:space="preserve">) </w:t>
      </w:r>
      <w:r>
        <w:rPr>
          <w:rFonts w:cs="Arial"/>
        </w:rPr>
        <w:t>can be considered by UE as well as NW</w:t>
      </w:r>
      <w:r w:rsidR="000C7950" w:rsidRPr="00240F00">
        <w:rPr>
          <w:rFonts w:cs="Arial"/>
        </w:rPr>
        <w:t xml:space="preserve"> </w:t>
      </w:r>
      <w:r w:rsidR="00D21CBE">
        <w:rPr>
          <w:rFonts w:cs="Arial"/>
        </w:rPr>
        <w:t xml:space="preserve">during RACH </w:t>
      </w:r>
      <w:r w:rsidR="006156F2">
        <w:rPr>
          <w:rFonts w:cs="Arial"/>
        </w:rPr>
        <w:t>procedure</w:t>
      </w:r>
      <w:r w:rsidR="000C7950">
        <w:rPr>
          <w:rFonts w:cs="Arial"/>
        </w:rPr>
        <w:t xml:space="preserve">, </w:t>
      </w:r>
      <w:r w:rsidR="002F4865">
        <w:rPr>
          <w:rFonts w:cs="Arial"/>
        </w:rPr>
        <w:t>UE and</w:t>
      </w:r>
      <w:r w:rsidR="000C7950">
        <w:rPr>
          <w:rFonts w:cs="Arial"/>
        </w:rPr>
        <w:t xml:space="preserve"> </w:t>
      </w:r>
      <w:r>
        <w:rPr>
          <w:rFonts w:cs="Arial"/>
        </w:rPr>
        <w:t>NW</w:t>
      </w:r>
      <w:r w:rsidR="000C7950">
        <w:rPr>
          <w:rFonts w:cs="Arial"/>
        </w:rPr>
        <w:t xml:space="preserve"> </w:t>
      </w:r>
      <w:r w:rsidR="00A4440B">
        <w:rPr>
          <w:rFonts w:cs="Arial"/>
        </w:rPr>
        <w:t>may</w:t>
      </w:r>
      <w:r w:rsidR="000C7950">
        <w:rPr>
          <w:rFonts w:cs="Arial"/>
        </w:rPr>
        <w:t xml:space="preserve"> </w:t>
      </w:r>
      <w:r w:rsidR="000C7950" w:rsidRPr="00240F00">
        <w:rPr>
          <w:rFonts w:cs="Arial"/>
        </w:rPr>
        <w:t xml:space="preserve"> </w:t>
      </w:r>
      <w:r w:rsidR="002F4865">
        <w:rPr>
          <w:rFonts w:cs="Arial"/>
        </w:rPr>
        <w:t>select</w:t>
      </w:r>
      <w:r w:rsidR="000C7950">
        <w:rPr>
          <w:rFonts w:cs="Arial"/>
        </w:rPr>
        <w:t xml:space="preserve"> more suitable </w:t>
      </w:r>
      <w:r w:rsidR="000C7950" w:rsidRPr="00240F00">
        <w:rPr>
          <w:rFonts w:cs="Arial"/>
        </w:rPr>
        <w:t xml:space="preserve"> repetition number</w:t>
      </w:r>
      <w:r w:rsidR="000C7950">
        <w:rPr>
          <w:rFonts w:cs="Arial"/>
        </w:rPr>
        <w:t xml:space="preserve">  based on the coverage level</w:t>
      </w:r>
      <w:r w:rsidR="007045D6">
        <w:rPr>
          <w:rFonts w:cs="Arial"/>
        </w:rPr>
        <w:t xml:space="preserve">, </w:t>
      </w:r>
      <w:r w:rsidR="00955CF4">
        <w:rPr>
          <w:rFonts w:cs="Arial"/>
        </w:rPr>
        <w:t xml:space="preserve">or </w:t>
      </w:r>
      <w:r w:rsidR="006156F2">
        <w:rPr>
          <w:rFonts w:cs="Arial"/>
        </w:rPr>
        <w:t>re</w:t>
      </w:r>
      <w:r w:rsidR="007045D6">
        <w:rPr>
          <w:rFonts w:cs="Arial"/>
        </w:rPr>
        <w:t>select a different coverage level</w:t>
      </w:r>
      <w:r w:rsidR="002F4865">
        <w:rPr>
          <w:rFonts w:cs="Arial"/>
        </w:rPr>
        <w:t xml:space="preserve">, </w:t>
      </w:r>
      <w:r w:rsidR="000C7950">
        <w:rPr>
          <w:rFonts w:cs="Arial"/>
        </w:rPr>
        <w:t xml:space="preserve">thus further </w:t>
      </w:r>
      <w:r w:rsidR="000C7950" w:rsidRPr="001B09FE">
        <w:rPr>
          <w:rFonts w:cs="Arial"/>
          <w:lang w:eastAsia="zh-CN"/>
        </w:rPr>
        <w:t>optimize the resource usage of the network</w:t>
      </w:r>
      <w:r w:rsidR="00F64FB1">
        <w:rPr>
          <w:rFonts w:cs="Arial"/>
          <w:lang w:eastAsia="zh-CN"/>
        </w:rPr>
        <w:t xml:space="preserve"> </w:t>
      </w:r>
      <w:r w:rsidR="00DC0D69">
        <w:rPr>
          <w:rFonts w:cs="Arial"/>
          <w:lang w:eastAsia="zh-CN"/>
        </w:rPr>
        <w:t>or</w:t>
      </w:r>
      <w:r w:rsidR="00F64FB1">
        <w:rPr>
          <w:rFonts w:cs="Arial"/>
          <w:lang w:eastAsia="zh-CN"/>
        </w:rPr>
        <w:t xml:space="preserve"> </w:t>
      </w:r>
      <w:r w:rsidR="007045D6">
        <w:rPr>
          <w:rFonts w:cs="Arial"/>
          <w:lang w:eastAsia="zh-CN"/>
        </w:rPr>
        <w:t>reduce likelihood of RACH fai</w:t>
      </w:r>
      <w:r w:rsidR="00026009">
        <w:rPr>
          <w:rFonts w:cs="Arial"/>
          <w:lang w:eastAsia="zh-CN"/>
        </w:rPr>
        <w:t>l</w:t>
      </w:r>
      <w:r w:rsidR="007045D6">
        <w:rPr>
          <w:rFonts w:cs="Arial"/>
          <w:lang w:eastAsia="zh-CN"/>
        </w:rPr>
        <w:t>ure</w:t>
      </w:r>
      <w:r w:rsidR="00A2704B">
        <w:rPr>
          <w:rFonts w:cs="Arial"/>
          <w:lang w:eastAsia="zh-CN"/>
        </w:rPr>
        <w:t>. Si</w:t>
      </w:r>
      <w:r w:rsidR="00261CDA">
        <w:rPr>
          <w:rFonts w:cs="Arial"/>
          <w:lang w:eastAsia="zh-CN"/>
        </w:rPr>
        <w:t>milarly, for data transmission,</w:t>
      </w:r>
      <w:r w:rsidR="00261CDA" w:rsidRPr="00261CDA">
        <w:rPr>
          <w:rFonts w:cs="Arial"/>
        </w:rPr>
        <w:t xml:space="preserve"> </w:t>
      </w:r>
      <w:r w:rsidR="00261CDA">
        <w:rPr>
          <w:rFonts w:cs="Arial"/>
        </w:rPr>
        <w:t xml:space="preserve">the </w:t>
      </w:r>
      <w:r w:rsidR="00261CDA" w:rsidRPr="00240F00">
        <w:rPr>
          <w:rFonts w:cs="Arial"/>
        </w:rPr>
        <w:t xml:space="preserve">change trend of </w:t>
      </w:r>
      <w:r w:rsidR="00261CDA">
        <w:rPr>
          <w:rFonts w:cs="Arial"/>
        </w:rPr>
        <w:t xml:space="preserve"> </w:t>
      </w:r>
      <w:r w:rsidR="00261CDA" w:rsidRPr="4C690F4E">
        <w:rPr>
          <w:rFonts w:cs="Arial"/>
        </w:rPr>
        <w:t>UE-satellite distance</w:t>
      </w:r>
      <w:r w:rsidR="00261CDA">
        <w:rPr>
          <w:rFonts w:cs="Arial"/>
        </w:rPr>
        <w:t xml:space="preserve"> (or </w:t>
      </w:r>
      <w:r w:rsidR="00261CDA" w:rsidRPr="4C690F4E">
        <w:rPr>
          <w:rFonts w:cs="Arial"/>
        </w:rPr>
        <w:t>pathloss/RSRP/elevation angle/Doppler shift</w:t>
      </w:r>
      <w:r w:rsidR="00261CDA">
        <w:rPr>
          <w:rFonts w:cs="Arial"/>
        </w:rPr>
        <w:t>)</w:t>
      </w:r>
      <w:r w:rsidR="00261CDA" w:rsidRPr="4C690F4E">
        <w:rPr>
          <w:rFonts w:cs="Arial"/>
        </w:rPr>
        <w:t xml:space="preserve"> </w:t>
      </w:r>
      <w:r w:rsidR="003106F7">
        <w:rPr>
          <w:rFonts w:cs="Arial"/>
        </w:rPr>
        <w:t>can be considered together with</w:t>
      </w:r>
      <w:r w:rsidR="00261CDA">
        <w:rPr>
          <w:rFonts w:cs="Arial"/>
        </w:rPr>
        <w:t xml:space="preserve"> the transmission status of the data,</w:t>
      </w:r>
      <w:r w:rsidR="000C7950" w:rsidRPr="001B09FE">
        <w:rPr>
          <w:rFonts w:cs="Arial"/>
          <w:lang w:eastAsia="zh-CN"/>
        </w:rPr>
        <w:t xml:space="preserve"> </w:t>
      </w:r>
      <w:r w:rsidR="003106F7">
        <w:rPr>
          <w:rFonts w:cs="Arial"/>
          <w:lang w:eastAsia="zh-CN"/>
        </w:rPr>
        <w:t xml:space="preserve">to </w:t>
      </w:r>
      <w:r w:rsidR="000C7950" w:rsidRPr="001B09FE">
        <w:rPr>
          <w:rFonts w:cs="Arial"/>
          <w:lang w:eastAsia="zh-CN"/>
        </w:rPr>
        <w:t xml:space="preserve">reduce the transmission time as well as </w:t>
      </w:r>
      <w:r w:rsidR="00AC2D6F">
        <w:rPr>
          <w:rFonts w:cs="Arial"/>
          <w:lang w:eastAsia="zh-CN"/>
        </w:rPr>
        <w:t>UE’s</w:t>
      </w:r>
      <w:r w:rsidR="000C7950" w:rsidRPr="001B09FE">
        <w:rPr>
          <w:rFonts w:cs="Arial"/>
          <w:lang w:eastAsia="zh-CN"/>
        </w:rPr>
        <w:t xml:space="preserve"> power consumption</w:t>
      </w:r>
      <w:r w:rsidR="007A77E4">
        <w:rPr>
          <w:rFonts w:cs="Arial"/>
          <w:lang w:eastAsia="zh-CN"/>
        </w:rPr>
        <w:t xml:space="preserve"> </w:t>
      </w:r>
      <w:r w:rsidR="00DC0D69">
        <w:rPr>
          <w:rFonts w:cs="Arial"/>
          <w:lang w:eastAsia="zh-CN"/>
        </w:rPr>
        <w:t xml:space="preserve">or </w:t>
      </w:r>
      <w:r w:rsidR="00DA562E">
        <w:rPr>
          <w:rFonts w:cs="Arial"/>
          <w:lang w:eastAsia="zh-CN"/>
        </w:rPr>
        <w:t>reduce likelihood of data transmission failure</w:t>
      </w:r>
      <w:r w:rsidR="000C7950" w:rsidRPr="001B09FE">
        <w:rPr>
          <w:rFonts w:cs="Arial"/>
          <w:lang w:eastAsia="zh-CN"/>
        </w:rPr>
        <w:t xml:space="preserve">. </w:t>
      </w:r>
      <w:r w:rsidR="005506F8">
        <w:rPr>
          <w:rFonts w:cs="Arial"/>
          <w:lang w:eastAsia="zh-CN"/>
        </w:rPr>
        <w:t>This is important for CE level which requires high number of repetitions (e.g. support high MCL, such as 164 dB).</w:t>
      </w:r>
    </w:p>
    <w:p w14:paraId="1428CC05" w14:textId="77777777" w:rsidR="000C7950" w:rsidRDefault="000C7950" w:rsidP="000C7950">
      <w:pPr>
        <w:autoSpaceDE w:val="0"/>
        <w:autoSpaceDN w:val="0"/>
        <w:adjustRightInd w:val="0"/>
        <w:jc w:val="center"/>
        <w:rPr>
          <w:lang w:eastAsia="zh-CN"/>
        </w:rPr>
      </w:pPr>
      <w:r>
        <w:object w:dxaOrig="12471" w:dyaOrig="7271" w14:anchorId="56060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68.3pt" o:ole="">
            <v:imagedata r:id="rId9" o:title=""/>
          </v:shape>
          <o:OLEObject Type="Embed" ProgID="Visio.Drawing.15" ShapeID="_x0000_i1025" DrawAspect="Content" ObjectID="_1672215044" r:id="rId10"/>
        </w:object>
      </w:r>
    </w:p>
    <w:p w14:paraId="7C2792BC" w14:textId="77777777" w:rsidR="000C7950" w:rsidRDefault="000C7950" w:rsidP="000C7950">
      <w:pPr>
        <w:autoSpaceDE w:val="0"/>
        <w:autoSpaceDN w:val="0"/>
        <w:adjustRightInd w:val="0"/>
        <w:jc w:val="center"/>
      </w:pPr>
      <w:r>
        <w:object w:dxaOrig="12180" w:dyaOrig="8031" w14:anchorId="3FEAE135">
          <v:shape id="_x0000_i1026" type="#_x0000_t75" style="width:292.3pt;height:191.95pt" o:ole="">
            <v:imagedata r:id="rId11" o:title=""/>
          </v:shape>
          <o:OLEObject Type="Embed" ProgID="Visio.Drawing.15" ShapeID="_x0000_i1026" DrawAspect="Content" ObjectID="_1672215045" r:id="rId12"/>
        </w:object>
      </w:r>
    </w:p>
    <w:p w14:paraId="15353BF9" w14:textId="77777777" w:rsidR="000C7950" w:rsidRPr="006E56BD" w:rsidRDefault="000C7950" w:rsidP="000C7950">
      <w:pPr>
        <w:autoSpaceDE w:val="0"/>
        <w:autoSpaceDN w:val="0"/>
        <w:adjustRightInd w:val="0"/>
        <w:jc w:val="center"/>
        <w:rPr>
          <w:rFonts w:cs="Arial"/>
          <w:lang w:val="en-US" w:eastAsia="zh-CN"/>
        </w:rPr>
      </w:pPr>
      <w:r w:rsidRPr="000454C0">
        <w:rPr>
          <w:rFonts w:cs="Arial"/>
          <w:lang w:eastAsia="zh-CN"/>
        </w:rPr>
        <w:t xml:space="preserve">Figure 3  The illustration of pathloss change with the movement of the satellite </w:t>
      </w:r>
    </w:p>
    <w:p w14:paraId="0D890781" w14:textId="6A10B4FD" w:rsidR="00DC5C88" w:rsidRPr="000E0E64" w:rsidRDefault="000C7950" w:rsidP="000C7950">
      <w:pPr>
        <w:rPr>
          <w:b/>
          <w:bCs/>
        </w:rPr>
      </w:pPr>
      <w:r w:rsidRPr="4F059E79">
        <w:rPr>
          <w:b/>
          <w:bCs/>
        </w:rPr>
        <w:t>Proposal</w:t>
      </w:r>
      <w:r w:rsidR="00930C72" w:rsidRPr="4F059E79">
        <w:rPr>
          <w:b/>
          <w:bCs/>
        </w:rPr>
        <w:t xml:space="preserve"> 3</w:t>
      </w:r>
      <w:r w:rsidRPr="4F059E79">
        <w:rPr>
          <w:b/>
          <w:bCs/>
        </w:rPr>
        <w:t xml:space="preserve">: </w:t>
      </w:r>
      <w:r w:rsidR="00400D46" w:rsidRPr="4F059E79">
        <w:rPr>
          <w:b/>
          <w:bCs/>
        </w:rPr>
        <w:t xml:space="preserve">It is beneficial </w:t>
      </w:r>
      <w:r w:rsidR="000E0E64" w:rsidRPr="4F059E79">
        <w:rPr>
          <w:b/>
          <w:bCs/>
        </w:rPr>
        <w:t>for UE and NW to consider the</w:t>
      </w:r>
      <w:r w:rsidRPr="4F059E79">
        <w:rPr>
          <w:b/>
          <w:bCs/>
        </w:rPr>
        <w:t xml:space="preserve"> change trend of </w:t>
      </w:r>
      <w:r w:rsidR="00D42DA7">
        <w:rPr>
          <w:b/>
          <w:bCs/>
        </w:rPr>
        <w:t>radio conditions</w:t>
      </w:r>
      <w:r w:rsidRPr="4F059E79">
        <w:rPr>
          <w:b/>
          <w:bCs/>
        </w:rPr>
        <w:t xml:space="preserve"> to </w:t>
      </w:r>
      <w:r w:rsidR="000E0E64" w:rsidRPr="4F059E79">
        <w:rPr>
          <w:b/>
          <w:bCs/>
        </w:rPr>
        <w:t>determine the</w:t>
      </w:r>
      <w:r w:rsidR="00933184">
        <w:rPr>
          <w:b/>
          <w:bCs/>
        </w:rPr>
        <w:t xml:space="preserve"> ECL and</w:t>
      </w:r>
      <w:r w:rsidR="000E0E64" w:rsidRPr="4F059E79">
        <w:rPr>
          <w:b/>
          <w:bCs/>
        </w:rPr>
        <w:t xml:space="preserve"> repetition number of PRACH and/or PUSCH</w:t>
      </w:r>
      <w:r w:rsidR="3C79D69F" w:rsidRPr="4F059E79">
        <w:rPr>
          <w:b/>
          <w:bCs/>
        </w:rPr>
        <w:t>/PDSCH</w:t>
      </w:r>
      <w:r w:rsidR="005506F8" w:rsidRPr="4F059E79">
        <w:rPr>
          <w:b/>
          <w:bCs/>
        </w:rPr>
        <w:t>, especially for UE in high CE level.</w:t>
      </w:r>
    </w:p>
    <w:p w14:paraId="5FF2457F" w14:textId="74F7AE1F" w:rsidR="00A209D6" w:rsidRPr="006E13D1" w:rsidRDefault="00CC250C" w:rsidP="00A209D6">
      <w:pPr>
        <w:pStyle w:val="Heading1"/>
      </w:pPr>
      <w:r>
        <w:t>3</w:t>
      </w:r>
      <w:r w:rsidR="00A209D6" w:rsidRPr="006E13D1">
        <w:tab/>
      </w:r>
      <w:r w:rsidR="008C3057">
        <w:t>Conclusion</w:t>
      </w:r>
    </w:p>
    <w:p w14:paraId="7B7240A4" w14:textId="42F33152" w:rsidR="004F73A7" w:rsidRPr="006E13D1" w:rsidRDefault="004F73A7" w:rsidP="00A209D6">
      <w:r>
        <w:t>This document has made</w:t>
      </w:r>
      <w:r w:rsidR="004F4540">
        <w:t xml:space="preserve"> the following observations:</w:t>
      </w:r>
    </w:p>
    <w:p w14:paraId="141CFD2A" w14:textId="77777777" w:rsidR="005231AF" w:rsidRPr="00216C65" w:rsidRDefault="005231AF" w:rsidP="005231AF">
      <w:pPr>
        <w:rPr>
          <w:b/>
        </w:rPr>
      </w:pPr>
      <w:r w:rsidRPr="00216C65">
        <w:rPr>
          <w:b/>
        </w:rPr>
        <w:t>Observation 1: The delay variations caused by satellite moving is significant, especially for high altitude LEO deployment.</w:t>
      </w:r>
    </w:p>
    <w:p w14:paraId="3728E423" w14:textId="77777777" w:rsidR="005231AF" w:rsidRDefault="005231AF" w:rsidP="005231AF">
      <w:pPr>
        <w:rPr>
          <w:b/>
          <w:bCs/>
        </w:rPr>
      </w:pPr>
      <w:r w:rsidRPr="4F059E79">
        <w:rPr>
          <w:b/>
          <w:bCs/>
        </w:rPr>
        <w:t>Observation 2: The pathloss/RSRP</w:t>
      </w:r>
      <w:r>
        <w:rPr>
          <w:b/>
          <w:bCs/>
        </w:rPr>
        <w:t>/SINR</w:t>
      </w:r>
      <w:r w:rsidRPr="4F059E79">
        <w:rPr>
          <w:b/>
          <w:bCs/>
        </w:rPr>
        <w:t xml:space="preserve"> will change during PRACH and PUSCH/PDSCH data transmission repetitions in LEO with moving satellite.</w:t>
      </w:r>
    </w:p>
    <w:p w14:paraId="36C4EF2D" w14:textId="77777777" w:rsidR="005231AF" w:rsidRPr="00FC7929" w:rsidRDefault="005231AF" w:rsidP="005231AF">
      <w:pPr>
        <w:rPr>
          <w:b/>
          <w:bCs/>
        </w:rPr>
      </w:pPr>
      <w:r w:rsidRPr="4F059E79">
        <w:rPr>
          <w:b/>
          <w:bCs/>
        </w:rPr>
        <w:t xml:space="preserve">Observation 3: In LEO, it is inaccurate to decide the number of </w:t>
      </w:r>
      <w:r w:rsidRPr="4F059E79">
        <w:rPr>
          <w:b/>
          <w:bCs/>
          <w:lang w:eastAsia="zh-CN"/>
        </w:rPr>
        <w:t>PRACH</w:t>
      </w:r>
      <w:r w:rsidRPr="4F059E79">
        <w:rPr>
          <w:b/>
          <w:bCs/>
        </w:rPr>
        <w:t>/PUSCH /PDSCH repetition number by using the CE level determined by the RSRP measured before preamble</w:t>
      </w:r>
      <w:r>
        <w:rPr>
          <w:b/>
          <w:bCs/>
        </w:rPr>
        <w:t xml:space="preserve"> transmission</w:t>
      </w:r>
      <w:r w:rsidRPr="4F059E79">
        <w:rPr>
          <w:b/>
          <w:bCs/>
        </w:rPr>
        <w:t>.</w:t>
      </w:r>
    </w:p>
    <w:p w14:paraId="455F9842" w14:textId="3BA2EC37" w:rsidR="004F4540" w:rsidRPr="004F4540" w:rsidRDefault="004F4540" w:rsidP="004F73A7">
      <w:pPr>
        <w:rPr>
          <w:bCs/>
        </w:rPr>
      </w:pPr>
      <w:r>
        <w:rPr>
          <w:bCs/>
        </w:rPr>
        <w:t>And proposed the following:</w:t>
      </w:r>
    </w:p>
    <w:p w14:paraId="03E7F48C" w14:textId="77777777" w:rsidR="005231AF" w:rsidRPr="00D207B7" w:rsidRDefault="005231AF" w:rsidP="005231AF">
      <w:pPr>
        <w:rPr>
          <w:b/>
          <w:bCs/>
        </w:rPr>
      </w:pPr>
      <w:r w:rsidRPr="00D207B7">
        <w:rPr>
          <w:b/>
          <w:bCs/>
        </w:rPr>
        <w:t xml:space="preserve">Proposal 1: RAN2 to clarify, based on the assumption in IoT NTN SI description, whether NB-IoT and </w:t>
      </w:r>
      <w:proofErr w:type="spellStart"/>
      <w:r w:rsidRPr="00D207B7">
        <w:rPr>
          <w:b/>
          <w:bCs/>
        </w:rPr>
        <w:t>eMTC</w:t>
      </w:r>
      <w:proofErr w:type="spellEnd"/>
      <w:r w:rsidRPr="00D207B7">
        <w:rPr>
          <w:b/>
          <w:bCs/>
        </w:rPr>
        <w:t xml:space="preserve"> UE can estimate and pre-compensate timing offset during the interval of PRACH repetitions and PUSCH repetitions in LEO.</w:t>
      </w:r>
    </w:p>
    <w:p w14:paraId="749D6451" w14:textId="77777777" w:rsidR="005231AF" w:rsidRPr="00D207B7" w:rsidRDefault="005231AF" w:rsidP="005231AF">
      <w:pPr>
        <w:rPr>
          <w:b/>
          <w:bCs/>
        </w:rPr>
      </w:pPr>
      <w:r w:rsidRPr="00D207B7">
        <w:rPr>
          <w:b/>
          <w:bCs/>
        </w:rPr>
        <w:t>Proposal 2: In LEO, how to handle TA value changing during the repetitions should be considered in UL transmissions if UE cannot pre-compensation timing offset automatically.</w:t>
      </w:r>
    </w:p>
    <w:p w14:paraId="5E519C1A" w14:textId="037962B6" w:rsidR="005231AF" w:rsidRDefault="005231AF" w:rsidP="00A209D6">
      <w:r w:rsidRPr="4F059E79">
        <w:rPr>
          <w:b/>
          <w:bCs/>
        </w:rPr>
        <w:t xml:space="preserve">Proposal 3: It is beneficial for UE and NW to consider the change trend of </w:t>
      </w:r>
      <w:r>
        <w:rPr>
          <w:b/>
          <w:bCs/>
        </w:rPr>
        <w:t>radio conditions</w:t>
      </w:r>
      <w:r w:rsidRPr="4F059E79">
        <w:rPr>
          <w:b/>
          <w:bCs/>
        </w:rPr>
        <w:t xml:space="preserve"> to determine the</w:t>
      </w:r>
      <w:r>
        <w:rPr>
          <w:b/>
          <w:bCs/>
        </w:rPr>
        <w:t xml:space="preserve"> ECL and</w:t>
      </w:r>
      <w:r w:rsidRPr="4F059E79">
        <w:rPr>
          <w:b/>
          <w:bCs/>
        </w:rPr>
        <w:t xml:space="preserve"> repetition number of PRACH and/or PUSCH/PDSCH, especially for UE in high CE level.</w:t>
      </w:r>
    </w:p>
    <w:sectPr w:rsidR="005231AF">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7196EF" w16cex:dateUtc="2021-01-07T12:20:00Z"/>
  <w16cex:commentExtensible w16cex:durableId="2D557046" w16cex:dateUtc="2021-01-07T12:24:00Z"/>
  <w16cex:commentExtensible w16cex:durableId="419A92D0" w16cex:dateUtc="2021-01-11T05:27:00Z"/>
  <w16cex:commentExtensible w16cex:durableId="429D93EB" w16cex:dateUtc="2021-01-07T12:31:00Z"/>
  <w16cex:commentExtensible w16cex:durableId="109DA82A" w16cex:dateUtc="2021-01-11T05:32:00Z"/>
  <w16cex:commentExtensible w16cex:durableId="6259741B" w16cex:dateUtc="2021-01-07T12:34:00Z"/>
  <w16cex:commentExtensible w16cex:durableId="6BEC5AB7" w16cex:dateUtc="2021-01-07T12:35:00Z"/>
  <w16cex:commentExtensible w16cex:durableId="2648EAD8" w16cex:dateUtc="2021-01-07T12: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389FE" w14:textId="77777777" w:rsidR="0090313D" w:rsidRDefault="0090313D">
      <w:r>
        <w:separator/>
      </w:r>
    </w:p>
  </w:endnote>
  <w:endnote w:type="continuationSeparator" w:id="0">
    <w:p w14:paraId="710ABE2F" w14:textId="77777777" w:rsidR="0090313D" w:rsidRDefault="0090313D">
      <w:r>
        <w:continuationSeparator/>
      </w:r>
    </w:p>
  </w:endnote>
  <w:endnote w:type="continuationNotice" w:id="1">
    <w:p w14:paraId="592A4B68" w14:textId="77777777" w:rsidR="0090313D" w:rsidRDefault="0090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EDFF4" w14:textId="77777777" w:rsidR="0090313D" w:rsidRDefault="0090313D">
      <w:r>
        <w:separator/>
      </w:r>
    </w:p>
  </w:footnote>
  <w:footnote w:type="continuationSeparator" w:id="0">
    <w:p w14:paraId="523AA041" w14:textId="77777777" w:rsidR="0090313D" w:rsidRDefault="0090313D">
      <w:r>
        <w:continuationSeparator/>
      </w:r>
    </w:p>
  </w:footnote>
  <w:footnote w:type="continuationNotice" w:id="1">
    <w:p w14:paraId="056608FF" w14:textId="77777777" w:rsidR="0090313D" w:rsidRDefault="0090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D323D56"/>
    <w:multiLevelType w:val="hybridMultilevel"/>
    <w:tmpl w:val="A5DC5604"/>
    <w:lvl w:ilvl="0" w:tplc="2474ED2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844"/>
    <w:rsid w:val="000164DE"/>
    <w:rsid w:val="00016557"/>
    <w:rsid w:val="00017E57"/>
    <w:rsid w:val="00023C40"/>
    <w:rsid w:val="00026009"/>
    <w:rsid w:val="00033397"/>
    <w:rsid w:val="00040095"/>
    <w:rsid w:val="0004424F"/>
    <w:rsid w:val="0004715D"/>
    <w:rsid w:val="00066C77"/>
    <w:rsid w:val="00073C9C"/>
    <w:rsid w:val="00080512"/>
    <w:rsid w:val="00090468"/>
    <w:rsid w:val="00094568"/>
    <w:rsid w:val="000A1309"/>
    <w:rsid w:val="000A60FC"/>
    <w:rsid w:val="000B04C0"/>
    <w:rsid w:val="000B7BCF"/>
    <w:rsid w:val="000C4551"/>
    <w:rsid w:val="000C522B"/>
    <w:rsid w:val="000C5350"/>
    <w:rsid w:val="000C7950"/>
    <w:rsid w:val="000D58AB"/>
    <w:rsid w:val="000D5BAC"/>
    <w:rsid w:val="000E0E64"/>
    <w:rsid w:val="000F1E35"/>
    <w:rsid w:val="000F2C46"/>
    <w:rsid w:val="000F5BDD"/>
    <w:rsid w:val="00103F03"/>
    <w:rsid w:val="00112F1A"/>
    <w:rsid w:val="00142E00"/>
    <w:rsid w:val="00145075"/>
    <w:rsid w:val="0016461E"/>
    <w:rsid w:val="00165892"/>
    <w:rsid w:val="001741A0"/>
    <w:rsid w:val="00175FA0"/>
    <w:rsid w:val="00194CD0"/>
    <w:rsid w:val="001A23AB"/>
    <w:rsid w:val="001A3995"/>
    <w:rsid w:val="001B19C0"/>
    <w:rsid w:val="001B49C9"/>
    <w:rsid w:val="001C070E"/>
    <w:rsid w:val="001C23F4"/>
    <w:rsid w:val="001C4F79"/>
    <w:rsid w:val="001D3F5D"/>
    <w:rsid w:val="001D4CEA"/>
    <w:rsid w:val="001E2FB7"/>
    <w:rsid w:val="001E3098"/>
    <w:rsid w:val="001F168B"/>
    <w:rsid w:val="001F3FD7"/>
    <w:rsid w:val="001F7831"/>
    <w:rsid w:val="002010F3"/>
    <w:rsid w:val="00201C61"/>
    <w:rsid w:val="00204045"/>
    <w:rsid w:val="0020712B"/>
    <w:rsid w:val="00211C2E"/>
    <w:rsid w:val="002132CD"/>
    <w:rsid w:val="0022606D"/>
    <w:rsid w:val="00231728"/>
    <w:rsid w:val="00244A05"/>
    <w:rsid w:val="00250404"/>
    <w:rsid w:val="00251DFF"/>
    <w:rsid w:val="002610D8"/>
    <w:rsid w:val="00261CDA"/>
    <w:rsid w:val="00267D5A"/>
    <w:rsid w:val="00273314"/>
    <w:rsid w:val="002747EC"/>
    <w:rsid w:val="002855BF"/>
    <w:rsid w:val="002857EA"/>
    <w:rsid w:val="00285857"/>
    <w:rsid w:val="00296603"/>
    <w:rsid w:val="002A3B52"/>
    <w:rsid w:val="002A4F25"/>
    <w:rsid w:val="002A5E4C"/>
    <w:rsid w:val="002C7AEE"/>
    <w:rsid w:val="002E0839"/>
    <w:rsid w:val="002E641A"/>
    <w:rsid w:val="002F0D22"/>
    <w:rsid w:val="002F4865"/>
    <w:rsid w:val="00304CF2"/>
    <w:rsid w:val="003072BD"/>
    <w:rsid w:val="003106F7"/>
    <w:rsid w:val="00311B17"/>
    <w:rsid w:val="003172DC"/>
    <w:rsid w:val="00324274"/>
    <w:rsid w:val="00325358"/>
    <w:rsid w:val="00325AE3"/>
    <w:rsid w:val="00326069"/>
    <w:rsid w:val="00326101"/>
    <w:rsid w:val="003262BB"/>
    <w:rsid w:val="00327601"/>
    <w:rsid w:val="003461AC"/>
    <w:rsid w:val="0035462D"/>
    <w:rsid w:val="00363180"/>
    <w:rsid w:val="0036459E"/>
    <w:rsid w:val="00364B41"/>
    <w:rsid w:val="00365A8A"/>
    <w:rsid w:val="00383096"/>
    <w:rsid w:val="00384CBF"/>
    <w:rsid w:val="00385E0E"/>
    <w:rsid w:val="00391CDC"/>
    <w:rsid w:val="0039346C"/>
    <w:rsid w:val="003A2886"/>
    <w:rsid w:val="003A41EF"/>
    <w:rsid w:val="003A4BAD"/>
    <w:rsid w:val="003B1591"/>
    <w:rsid w:val="003B3C49"/>
    <w:rsid w:val="003B40AD"/>
    <w:rsid w:val="003C025C"/>
    <w:rsid w:val="003C13CC"/>
    <w:rsid w:val="003C4E37"/>
    <w:rsid w:val="003D02E1"/>
    <w:rsid w:val="003D1373"/>
    <w:rsid w:val="003E16BE"/>
    <w:rsid w:val="003F3C7D"/>
    <w:rsid w:val="003F4E28"/>
    <w:rsid w:val="004006E8"/>
    <w:rsid w:val="00400D46"/>
    <w:rsid w:val="00401855"/>
    <w:rsid w:val="004073CB"/>
    <w:rsid w:val="00444EB4"/>
    <w:rsid w:val="00447066"/>
    <w:rsid w:val="00450538"/>
    <w:rsid w:val="00465587"/>
    <w:rsid w:val="00477455"/>
    <w:rsid w:val="00485501"/>
    <w:rsid w:val="00494954"/>
    <w:rsid w:val="004A1F7B"/>
    <w:rsid w:val="004B1892"/>
    <w:rsid w:val="004B2BA5"/>
    <w:rsid w:val="004B6F02"/>
    <w:rsid w:val="004C3371"/>
    <w:rsid w:val="004C44D2"/>
    <w:rsid w:val="004D3578"/>
    <w:rsid w:val="004D380D"/>
    <w:rsid w:val="004E213A"/>
    <w:rsid w:val="004F4540"/>
    <w:rsid w:val="004F73A7"/>
    <w:rsid w:val="00503171"/>
    <w:rsid w:val="00503662"/>
    <w:rsid w:val="005044FC"/>
    <w:rsid w:val="0050631F"/>
    <w:rsid w:val="00506C28"/>
    <w:rsid w:val="005077C2"/>
    <w:rsid w:val="00512239"/>
    <w:rsid w:val="005231AF"/>
    <w:rsid w:val="00534DA0"/>
    <w:rsid w:val="00535ECB"/>
    <w:rsid w:val="00543E6C"/>
    <w:rsid w:val="005506F8"/>
    <w:rsid w:val="00550BEE"/>
    <w:rsid w:val="00552AA4"/>
    <w:rsid w:val="00561121"/>
    <w:rsid w:val="00562A5A"/>
    <w:rsid w:val="005631C5"/>
    <w:rsid w:val="00565087"/>
    <w:rsid w:val="0056573F"/>
    <w:rsid w:val="00571279"/>
    <w:rsid w:val="005748C2"/>
    <w:rsid w:val="005848A2"/>
    <w:rsid w:val="005A07E6"/>
    <w:rsid w:val="005A49C6"/>
    <w:rsid w:val="005B1CF4"/>
    <w:rsid w:val="005B31CD"/>
    <w:rsid w:val="005C0075"/>
    <w:rsid w:val="005E4A3C"/>
    <w:rsid w:val="005F7696"/>
    <w:rsid w:val="00611566"/>
    <w:rsid w:val="006156F2"/>
    <w:rsid w:val="00646D99"/>
    <w:rsid w:val="00656881"/>
    <w:rsid w:val="00656910"/>
    <w:rsid w:val="00656A60"/>
    <w:rsid w:val="006574C0"/>
    <w:rsid w:val="00666E20"/>
    <w:rsid w:val="00670079"/>
    <w:rsid w:val="006700C4"/>
    <w:rsid w:val="00675AFD"/>
    <w:rsid w:val="00677A6F"/>
    <w:rsid w:val="0069257B"/>
    <w:rsid w:val="00696821"/>
    <w:rsid w:val="006A06AB"/>
    <w:rsid w:val="006A7DDD"/>
    <w:rsid w:val="006C07EF"/>
    <w:rsid w:val="006C563F"/>
    <w:rsid w:val="006C66D8"/>
    <w:rsid w:val="006D1E24"/>
    <w:rsid w:val="006D2F0D"/>
    <w:rsid w:val="006D35DE"/>
    <w:rsid w:val="006E13EB"/>
    <w:rsid w:val="006E1417"/>
    <w:rsid w:val="006F6A2C"/>
    <w:rsid w:val="00702313"/>
    <w:rsid w:val="007045D6"/>
    <w:rsid w:val="00704DB5"/>
    <w:rsid w:val="007069DC"/>
    <w:rsid w:val="00710201"/>
    <w:rsid w:val="0072060A"/>
    <w:rsid w:val="0072073A"/>
    <w:rsid w:val="00720818"/>
    <w:rsid w:val="00731171"/>
    <w:rsid w:val="007342B5"/>
    <w:rsid w:val="00734A5B"/>
    <w:rsid w:val="00744E76"/>
    <w:rsid w:val="00757D40"/>
    <w:rsid w:val="0076374C"/>
    <w:rsid w:val="007662B5"/>
    <w:rsid w:val="00772A6D"/>
    <w:rsid w:val="00780FCC"/>
    <w:rsid w:val="00781F0F"/>
    <w:rsid w:val="00785F68"/>
    <w:rsid w:val="0078727C"/>
    <w:rsid w:val="0079049D"/>
    <w:rsid w:val="00793DC5"/>
    <w:rsid w:val="00796823"/>
    <w:rsid w:val="007A2E55"/>
    <w:rsid w:val="007A52D9"/>
    <w:rsid w:val="007A77E4"/>
    <w:rsid w:val="007B12D6"/>
    <w:rsid w:val="007B18D8"/>
    <w:rsid w:val="007B21D2"/>
    <w:rsid w:val="007B5E97"/>
    <w:rsid w:val="007C095F"/>
    <w:rsid w:val="007C2DD0"/>
    <w:rsid w:val="007C42EB"/>
    <w:rsid w:val="007D129C"/>
    <w:rsid w:val="007E0872"/>
    <w:rsid w:val="007E49AD"/>
    <w:rsid w:val="007E4DEA"/>
    <w:rsid w:val="007E7582"/>
    <w:rsid w:val="007F2E08"/>
    <w:rsid w:val="008028A4"/>
    <w:rsid w:val="008036BF"/>
    <w:rsid w:val="00813245"/>
    <w:rsid w:val="00826A3F"/>
    <w:rsid w:val="008270E8"/>
    <w:rsid w:val="00834CFF"/>
    <w:rsid w:val="00840DE0"/>
    <w:rsid w:val="00842890"/>
    <w:rsid w:val="00846B47"/>
    <w:rsid w:val="008507B3"/>
    <w:rsid w:val="0085229C"/>
    <w:rsid w:val="00854769"/>
    <w:rsid w:val="008607A8"/>
    <w:rsid w:val="0086354A"/>
    <w:rsid w:val="00870B87"/>
    <w:rsid w:val="008768CA"/>
    <w:rsid w:val="00877420"/>
    <w:rsid w:val="00877EF9"/>
    <w:rsid w:val="00880559"/>
    <w:rsid w:val="00884DCB"/>
    <w:rsid w:val="008944B0"/>
    <w:rsid w:val="008A2C67"/>
    <w:rsid w:val="008B22FE"/>
    <w:rsid w:val="008B5306"/>
    <w:rsid w:val="008B640F"/>
    <w:rsid w:val="008B6C0C"/>
    <w:rsid w:val="008C2E2A"/>
    <w:rsid w:val="008C3057"/>
    <w:rsid w:val="008C6236"/>
    <w:rsid w:val="008D1A79"/>
    <w:rsid w:val="008D2E4D"/>
    <w:rsid w:val="008E7DDD"/>
    <w:rsid w:val="008F396F"/>
    <w:rsid w:val="008F3DCD"/>
    <w:rsid w:val="008F5A2E"/>
    <w:rsid w:val="00900DAB"/>
    <w:rsid w:val="0090271F"/>
    <w:rsid w:val="00902DB9"/>
    <w:rsid w:val="0090313D"/>
    <w:rsid w:val="00903188"/>
    <w:rsid w:val="0090466A"/>
    <w:rsid w:val="0092282C"/>
    <w:rsid w:val="00923655"/>
    <w:rsid w:val="00926BAA"/>
    <w:rsid w:val="00930C72"/>
    <w:rsid w:val="00933184"/>
    <w:rsid w:val="00936071"/>
    <w:rsid w:val="009376CD"/>
    <w:rsid w:val="00940212"/>
    <w:rsid w:val="00942984"/>
    <w:rsid w:val="00942EC2"/>
    <w:rsid w:val="00952FE3"/>
    <w:rsid w:val="00955CF4"/>
    <w:rsid w:val="00957938"/>
    <w:rsid w:val="00957E71"/>
    <w:rsid w:val="00961B32"/>
    <w:rsid w:val="00962509"/>
    <w:rsid w:val="009647C1"/>
    <w:rsid w:val="009703C4"/>
    <w:rsid w:val="00970DB3"/>
    <w:rsid w:val="00974BB0"/>
    <w:rsid w:val="00975BCD"/>
    <w:rsid w:val="009837E4"/>
    <w:rsid w:val="0098726C"/>
    <w:rsid w:val="009928A9"/>
    <w:rsid w:val="009A0AF3"/>
    <w:rsid w:val="009B07CD"/>
    <w:rsid w:val="009B2600"/>
    <w:rsid w:val="009C19E9"/>
    <w:rsid w:val="009C3E34"/>
    <w:rsid w:val="009C7F63"/>
    <w:rsid w:val="009D74A6"/>
    <w:rsid w:val="009E0E87"/>
    <w:rsid w:val="00A10F02"/>
    <w:rsid w:val="00A12DB7"/>
    <w:rsid w:val="00A204CA"/>
    <w:rsid w:val="00A209D6"/>
    <w:rsid w:val="00A22738"/>
    <w:rsid w:val="00A2704B"/>
    <w:rsid w:val="00A30BAB"/>
    <w:rsid w:val="00A42243"/>
    <w:rsid w:val="00A430EC"/>
    <w:rsid w:val="00A4440B"/>
    <w:rsid w:val="00A53724"/>
    <w:rsid w:val="00A54B2B"/>
    <w:rsid w:val="00A714D6"/>
    <w:rsid w:val="00A717DD"/>
    <w:rsid w:val="00A7573B"/>
    <w:rsid w:val="00A7689F"/>
    <w:rsid w:val="00A82346"/>
    <w:rsid w:val="00A92298"/>
    <w:rsid w:val="00A9671C"/>
    <w:rsid w:val="00AA1553"/>
    <w:rsid w:val="00AA3A7B"/>
    <w:rsid w:val="00AA7E3F"/>
    <w:rsid w:val="00AB077A"/>
    <w:rsid w:val="00AC2D6F"/>
    <w:rsid w:val="00AC7B2E"/>
    <w:rsid w:val="00AD31B0"/>
    <w:rsid w:val="00AD4CA8"/>
    <w:rsid w:val="00AE557C"/>
    <w:rsid w:val="00AF1966"/>
    <w:rsid w:val="00B05380"/>
    <w:rsid w:val="00B05962"/>
    <w:rsid w:val="00B06383"/>
    <w:rsid w:val="00B15449"/>
    <w:rsid w:val="00B16440"/>
    <w:rsid w:val="00B16C2F"/>
    <w:rsid w:val="00B2096C"/>
    <w:rsid w:val="00B20999"/>
    <w:rsid w:val="00B27303"/>
    <w:rsid w:val="00B4201E"/>
    <w:rsid w:val="00B47FD1"/>
    <w:rsid w:val="00B516BB"/>
    <w:rsid w:val="00B51A29"/>
    <w:rsid w:val="00B62546"/>
    <w:rsid w:val="00B7538C"/>
    <w:rsid w:val="00B84DB2"/>
    <w:rsid w:val="00B914C2"/>
    <w:rsid w:val="00B96544"/>
    <w:rsid w:val="00BA596D"/>
    <w:rsid w:val="00BB59E7"/>
    <w:rsid w:val="00BC3555"/>
    <w:rsid w:val="00BC38D8"/>
    <w:rsid w:val="00BC679C"/>
    <w:rsid w:val="00BD037B"/>
    <w:rsid w:val="00BD089F"/>
    <w:rsid w:val="00BD6D86"/>
    <w:rsid w:val="00BE2FDA"/>
    <w:rsid w:val="00C02E74"/>
    <w:rsid w:val="00C04E82"/>
    <w:rsid w:val="00C12B51"/>
    <w:rsid w:val="00C24650"/>
    <w:rsid w:val="00C25465"/>
    <w:rsid w:val="00C313F2"/>
    <w:rsid w:val="00C33079"/>
    <w:rsid w:val="00C54E21"/>
    <w:rsid w:val="00C55179"/>
    <w:rsid w:val="00C55A12"/>
    <w:rsid w:val="00C60CF4"/>
    <w:rsid w:val="00C6553E"/>
    <w:rsid w:val="00C70957"/>
    <w:rsid w:val="00C75DC2"/>
    <w:rsid w:val="00C83A13"/>
    <w:rsid w:val="00C86F10"/>
    <w:rsid w:val="00C9068C"/>
    <w:rsid w:val="00C92967"/>
    <w:rsid w:val="00C95F3C"/>
    <w:rsid w:val="00CA1E33"/>
    <w:rsid w:val="00CA3623"/>
    <w:rsid w:val="00CA3D0C"/>
    <w:rsid w:val="00CA654B"/>
    <w:rsid w:val="00CA69CC"/>
    <w:rsid w:val="00CB3238"/>
    <w:rsid w:val="00CB4710"/>
    <w:rsid w:val="00CB72B8"/>
    <w:rsid w:val="00CC250C"/>
    <w:rsid w:val="00CC6744"/>
    <w:rsid w:val="00CC7761"/>
    <w:rsid w:val="00CD0BA8"/>
    <w:rsid w:val="00CD4C7B"/>
    <w:rsid w:val="00CD58FE"/>
    <w:rsid w:val="00CD610E"/>
    <w:rsid w:val="00CD6DD5"/>
    <w:rsid w:val="00CF3A75"/>
    <w:rsid w:val="00D043FA"/>
    <w:rsid w:val="00D04C54"/>
    <w:rsid w:val="00D10791"/>
    <w:rsid w:val="00D207B7"/>
    <w:rsid w:val="00D21CBE"/>
    <w:rsid w:val="00D22D50"/>
    <w:rsid w:val="00D25696"/>
    <w:rsid w:val="00D3077B"/>
    <w:rsid w:val="00D3219C"/>
    <w:rsid w:val="00D33BE3"/>
    <w:rsid w:val="00D345DB"/>
    <w:rsid w:val="00D35336"/>
    <w:rsid w:val="00D3792D"/>
    <w:rsid w:val="00D42DA7"/>
    <w:rsid w:val="00D50192"/>
    <w:rsid w:val="00D50C72"/>
    <w:rsid w:val="00D53F17"/>
    <w:rsid w:val="00D55E47"/>
    <w:rsid w:val="00D62E19"/>
    <w:rsid w:val="00D67CD1"/>
    <w:rsid w:val="00D738D6"/>
    <w:rsid w:val="00D743D4"/>
    <w:rsid w:val="00D80795"/>
    <w:rsid w:val="00D81344"/>
    <w:rsid w:val="00D83D78"/>
    <w:rsid w:val="00D854BE"/>
    <w:rsid w:val="00D87E00"/>
    <w:rsid w:val="00D9134D"/>
    <w:rsid w:val="00D96D11"/>
    <w:rsid w:val="00DA562E"/>
    <w:rsid w:val="00DA7854"/>
    <w:rsid w:val="00DA7A03"/>
    <w:rsid w:val="00DB0DB8"/>
    <w:rsid w:val="00DB1818"/>
    <w:rsid w:val="00DC0D69"/>
    <w:rsid w:val="00DC309B"/>
    <w:rsid w:val="00DC445F"/>
    <w:rsid w:val="00DC4DA2"/>
    <w:rsid w:val="00DC5261"/>
    <w:rsid w:val="00DC5C88"/>
    <w:rsid w:val="00DC6E4B"/>
    <w:rsid w:val="00DD0F9A"/>
    <w:rsid w:val="00DD4ECF"/>
    <w:rsid w:val="00DD52F6"/>
    <w:rsid w:val="00DE1E88"/>
    <w:rsid w:val="00DE25D2"/>
    <w:rsid w:val="00DF0CBF"/>
    <w:rsid w:val="00DF350C"/>
    <w:rsid w:val="00E000D9"/>
    <w:rsid w:val="00E074A5"/>
    <w:rsid w:val="00E2189C"/>
    <w:rsid w:val="00E35D01"/>
    <w:rsid w:val="00E36F3F"/>
    <w:rsid w:val="00E40544"/>
    <w:rsid w:val="00E43417"/>
    <w:rsid w:val="00E46C08"/>
    <w:rsid w:val="00E471CF"/>
    <w:rsid w:val="00E52A88"/>
    <w:rsid w:val="00E53000"/>
    <w:rsid w:val="00E62835"/>
    <w:rsid w:val="00E66FFE"/>
    <w:rsid w:val="00E77645"/>
    <w:rsid w:val="00E77E06"/>
    <w:rsid w:val="00E833CF"/>
    <w:rsid w:val="00E83697"/>
    <w:rsid w:val="00E859B6"/>
    <w:rsid w:val="00E933EE"/>
    <w:rsid w:val="00EA5CFF"/>
    <w:rsid w:val="00EA66C9"/>
    <w:rsid w:val="00EA67F4"/>
    <w:rsid w:val="00EB12CD"/>
    <w:rsid w:val="00EC3428"/>
    <w:rsid w:val="00EC4A25"/>
    <w:rsid w:val="00EE4F29"/>
    <w:rsid w:val="00EE5997"/>
    <w:rsid w:val="00EF03D4"/>
    <w:rsid w:val="00EF612C"/>
    <w:rsid w:val="00EF7307"/>
    <w:rsid w:val="00F025A2"/>
    <w:rsid w:val="00F036E9"/>
    <w:rsid w:val="00F07388"/>
    <w:rsid w:val="00F101F3"/>
    <w:rsid w:val="00F2026E"/>
    <w:rsid w:val="00F2210A"/>
    <w:rsid w:val="00F31372"/>
    <w:rsid w:val="00F3426E"/>
    <w:rsid w:val="00F34E8C"/>
    <w:rsid w:val="00F37743"/>
    <w:rsid w:val="00F37D37"/>
    <w:rsid w:val="00F4135C"/>
    <w:rsid w:val="00F44040"/>
    <w:rsid w:val="00F461EA"/>
    <w:rsid w:val="00F54A3D"/>
    <w:rsid w:val="00F54CB0"/>
    <w:rsid w:val="00F55FBB"/>
    <w:rsid w:val="00F579CD"/>
    <w:rsid w:val="00F64FB1"/>
    <w:rsid w:val="00F653B8"/>
    <w:rsid w:val="00F672B6"/>
    <w:rsid w:val="00F71B89"/>
    <w:rsid w:val="00F7353C"/>
    <w:rsid w:val="00F76F8F"/>
    <w:rsid w:val="00F87614"/>
    <w:rsid w:val="00F9168E"/>
    <w:rsid w:val="00F941DF"/>
    <w:rsid w:val="00FA1266"/>
    <w:rsid w:val="00FA3164"/>
    <w:rsid w:val="00FB36FA"/>
    <w:rsid w:val="00FB51DD"/>
    <w:rsid w:val="00FC1192"/>
    <w:rsid w:val="00FC7929"/>
    <w:rsid w:val="00FE0F52"/>
    <w:rsid w:val="00FE106D"/>
    <w:rsid w:val="00FE251B"/>
    <w:rsid w:val="00FE6F4A"/>
    <w:rsid w:val="09091B32"/>
    <w:rsid w:val="1009DD13"/>
    <w:rsid w:val="11B51A8E"/>
    <w:rsid w:val="170299BF"/>
    <w:rsid w:val="1F1D1AF1"/>
    <w:rsid w:val="22247623"/>
    <w:rsid w:val="28E81441"/>
    <w:rsid w:val="2BD4DE41"/>
    <w:rsid w:val="32EE0AD5"/>
    <w:rsid w:val="3571B40B"/>
    <w:rsid w:val="3A115A1E"/>
    <w:rsid w:val="3C79D69F"/>
    <w:rsid w:val="3EF3A933"/>
    <w:rsid w:val="41B39408"/>
    <w:rsid w:val="4688B2DB"/>
    <w:rsid w:val="4C570B7D"/>
    <w:rsid w:val="4C690F4E"/>
    <w:rsid w:val="4EDD7047"/>
    <w:rsid w:val="4F059E79"/>
    <w:rsid w:val="4FC6A21B"/>
    <w:rsid w:val="502E672C"/>
    <w:rsid w:val="598B49D9"/>
    <w:rsid w:val="5B271A3A"/>
    <w:rsid w:val="5C1E94AB"/>
    <w:rsid w:val="64A5984A"/>
    <w:rsid w:val="6CFE8403"/>
    <w:rsid w:val="6E9A5464"/>
    <w:rsid w:val="6EF267A6"/>
    <w:rsid w:val="6FF009A5"/>
    <w:rsid w:val="708450E9"/>
    <w:rsid w:val="7403AC7B"/>
    <w:rsid w:val="7B59AA34"/>
    <w:rsid w:val="7D31126C"/>
    <w:rsid w:val="7EE27E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00D4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DD0F9A"/>
    <w:pPr>
      <w:spacing w:after="200"/>
    </w:pPr>
    <w:rPr>
      <w:i/>
      <w:iCs/>
      <w:color w:val="44546A" w:themeColor="text2"/>
      <w:sz w:val="18"/>
      <w:szCs w:val="18"/>
    </w:rPr>
  </w:style>
  <w:style w:type="table" w:styleId="TableGrid">
    <w:name w:val="Table Grid"/>
    <w:basedOn w:val="TableNormal"/>
    <w:rsid w:val="00DD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85E0E"/>
    <w:rPr>
      <w:sz w:val="16"/>
      <w:szCs w:val="16"/>
    </w:rPr>
  </w:style>
  <w:style w:type="paragraph" w:styleId="CommentText">
    <w:name w:val="annotation text"/>
    <w:basedOn w:val="Normal"/>
    <w:link w:val="CommentTextChar"/>
    <w:rsid w:val="00385E0E"/>
  </w:style>
  <w:style w:type="character" w:customStyle="1" w:styleId="CommentTextChar">
    <w:name w:val="Comment Text Char"/>
    <w:basedOn w:val="DefaultParagraphFont"/>
    <w:link w:val="CommentText"/>
    <w:rsid w:val="00385E0E"/>
    <w:rPr>
      <w:lang w:eastAsia="en-US"/>
    </w:rPr>
  </w:style>
  <w:style w:type="paragraph" w:styleId="CommentSubject">
    <w:name w:val="annotation subject"/>
    <w:basedOn w:val="CommentText"/>
    <w:next w:val="CommentText"/>
    <w:link w:val="CommentSubjectChar"/>
    <w:rsid w:val="00385E0E"/>
    <w:rPr>
      <w:b/>
      <w:bCs/>
    </w:rPr>
  </w:style>
  <w:style w:type="character" w:customStyle="1" w:styleId="CommentSubjectChar">
    <w:name w:val="Comment Subject Char"/>
    <w:basedOn w:val="CommentTextChar"/>
    <w:link w:val="CommentSubject"/>
    <w:rsid w:val="00385E0E"/>
    <w:rPr>
      <w:b/>
      <w:bCs/>
      <w:lang w:eastAsia="en-US"/>
    </w:rPr>
  </w:style>
  <w:style w:type="character" w:styleId="Mention">
    <w:name w:val="Mention"/>
    <w:basedOn w:val="DefaultParagraphFont"/>
    <w:uiPriority w:val="99"/>
    <w:unhideWhenUsed/>
    <w:rsid w:val="005748C2"/>
    <w:rPr>
      <w:color w:val="2B579A"/>
      <w:shd w:val="clear" w:color="auto" w:fill="E1DFDD"/>
    </w:rPr>
  </w:style>
  <w:style w:type="paragraph" w:styleId="BodyText">
    <w:name w:val="Body Text"/>
    <w:basedOn w:val="Normal"/>
    <w:link w:val="BodyTextChar"/>
    <w:rsid w:val="00C70957"/>
    <w:rPr>
      <w:rFonts w:eastAsia="PMingLiU"/>
    </w:rPr>
  </w:style>
  <w:style w:type="character" w:customStyle="1" w:styleId="BodyTextChar">
    <w:name w:val="Body Text Char"/>
    <w:basedOn w:val="DefaultParagraphFont"/>
    <w:link w:val="BodyText"/>
    <w:rsid w:val="00C70957"/>
    <w:rPr>
      <w:rFonts w:eastAsia="PMingLiU"/>
      <w:lang w:eastAsia="en-US"/>
    </w:rPr>
  </w:style>
  <w:style w:type="paragraph" w:styleId="Revision">
    <w:name w:val="Revision"/>
    <w:hidden/>
    <w:uiPriority w:val="99"/>
    <w:semiHidden/>
    <w:rsid w:val="00952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10640</CharactersWithSpaces>
  <SharedDoc>false</SharedDoc>
  <HyperlinkBase/>
  <HLinks>
    <vt:vector size="6" baseType="variant">
      <vt:variant>
        <vt:i4>852014</vt:i4>
      </vt:variant>
      <vt:variant>
        <vt:i4>0</vt:i4>
      </vt:variant>
      <vt:variant>
        <vt:i4>0</vt:i4>
      </vt:variant>
      <vt:variant>
        <vt:i4>5</vt:i4>
      </vt:variant>
      <vt:variant>
        <vt:lpwstr>mailto:pingping.wen@nokia-sbell.com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2021-01-14T08:21:00Z</dcterms:created>
  <dcterms:modified xsi:type="dcterms:W3CDTF">2021-01-15T03:24:00Z</dcterms:modified>
  <cp:category/>
</cp:coreProperties>
</file>